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57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00"/>
        <w:gridCol w:w="10664"/>
        <w:gridCol w:w="2268"/>
      </w:tblGrid>
      <w:tr>
        <w:tblPrEx/>
        <w:trPr/>
        <w:tc>
          <w:tcPr>
            <w:tcW w:w="280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/>
            <w:bookmarkStart w:id="0" w:name="RANGE!A1%3AC271"/>
            <w:r/>
            <w:bookmarkEnd w:id="0"/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1293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Приложение 2 </w:t>
            </w:r>
            <w:r/>
          </w:p>
        </w:tc>
      </w:tr>
      <w:tr>
        <w:tblPrEx/>
        <w:trPr/>
        <w:tc>
          <w:tcPr>
            <w:tcW w:w="280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W w:w="1066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280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1293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к решению Думы </w:t>
            </w:r>
            <w:r/>
          </w:p>
        </w:tc>
      </w:tr>
      <w:tr>
        <w:tblPrEx/>
        <w:trPr/>
        <w:tc>
          <w:tcPr>
            <w:tcW w:w="280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tcW w:w="1293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                                                        Артемовского городского округа </w:t>
            </w:r>
            <w:r/>
          </w:p>
        </w:tc>
      </w:tr>
      <w:tr>
        <w:tblPrEx/>
        <w:trPr/>
        <w:tc>
          <w:tcPr>
            <w:tcW w:w="280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tcW w:w="1293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от                  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        №  </w:t>
            </w:r>
            <w:r/>
          </w:p>
        </w:tc>
      </w:tr>
      <w:tr>
        <w:tblPrEx/>
        <w:trPr/>
        <w:tc>
          <w:tcPr>
            <w:tcW w:w="280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W w:w="1066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80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066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80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066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ОБЪЕМЫ 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280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1066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доходов бюджета Артемовского городского округа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/>
            <w:bookmarkStart w:id="1" w:name="_GoBack"/>
            <w:r/>
            <w:bookmarkEnd w:id="1"/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702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00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Код бюджетной               классификации Российской Федерации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664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Наименование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Сумма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</w:tc>
      </w:tr>
    </w:tbl>
    <w:p>
      <w:pPr>
        <w:contextualSpacing/>
        <w:jc w:val="center"/>
        <w:spacing w:before="0" w:after="0" w:line="120" w:lineRule="auto"/>
        <w:rPr>
          <w:sz w:val="6"/>
          <w:szCs w:val="6"/>
        </w:rPr>
        <w:suppressLineNumbers w:val="0"/>
      </w:pPr>
      <w:r>
        <w:rPr>
          <w:sz w:val="6"/>
          <w:szCs w:val="6"/>
        </w:rPr>
      </w:r>
      <w:r>
        <w:rPr>
          <w:sz w:val="6"/>
          <w:szCs w:val="6"/>
        </w:rPr>
      </w:r>
      <w:r>
        <w:rPr>
          <w:sz w:val="6"/>
          <w:szCs w:val="6"/>
        </w:rPr>
      </w:r>
    </w:p>
    <w:tbl>
      <w:tblPr>
        <w:tblW w:w="157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00"/>
        <w:gridCol w:w="10664"/>
        <w:gridCol w:w="2268"/>
      </w:tblGrid>
      <w:tr>
        <w:tblPrEx/>
        <w:trPr>
          <w:trHeight w:val="23"/>
          <w:tblHeader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contextualSpacing/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contextualSpacing/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contextualSpacing/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1 00 00000 00 0000 000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НАЛОГОВЫЕ И НЕНАЛОГОВЫЕ ДОХОДЫ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3 944 681 986,31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1 01 00000 00 0000 000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НАЛОГИ НА ПРИБЫЛЬ, ДОХОДЫ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2 644 814 000,00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1 01 02000 01 0000 110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Налог на доходы физических лиц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2 644 814 000,00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1 01 02010 01 0000 110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t xml:space="preserve">Н</w:t>
            </w:r>
            <w:r>
              <w:rPr>
                <w:rFonts w:ascii="Times New Roman" w:hAnsi="Times New Roman"/>
                <w:sz w:val="24"/>
              </w:rPr>
              <w:t xml:space="preserve">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</w:t>
            </w:r>
            <w:r>
              <w:rPr>
                <w:rFonts w:ascii="Times New Roman" w:hAnsi="Times New Roman"/>
                <w:sz w:val="24"/>
              </w:rPr>
              <w:t xml:space="preserve">ы</w:t>
            </w:r>
            <w:r>
              <w:rPr>
                <w:rFonts w:ascii="Times New Roman" w:hAnsi="Times New Roman"/>
                <w:sz w:val="24"/>
              </w:rPr>
              <w:t xml:space="preserve">е периоды после 1 января 2025 года (за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доходов от долевого участия в организации, получе</w:t>
            </w:r>
            <w:r>
              <w:rPr>
                <w:rFonts w:ascii="Times New Roman" w:hAnsi="Times New Roman"/>
                <w:sz w:val="24"/>
              </w:rPr>
              <w:t xml:space="preserve">н</w:t>
            </w:r>
            <w:r>
              <w:rPr>
                <w:rFonts w:ascii="Times New Roman" w:hAnsi="Times New Roman"/>
                <w:sz w:val="24"/>
              </w:rPr>
              <w:t xml:space="preserve">ных физическим лицом - налоговым резидентом Российской Федерации в виде дивидендов, доходов, относящихся к налоговым базам, указанным в пунктах 6.1 и 6.2 статьи 210 Налогового кодекса Российской Федерации), а также налог на доходы физических лиц в отношени</w:t>
            </w:r>
            <w:r>
              <w:rPr>
                <w:rFonts w:ascii="Times New Roman" w:hAnsi="Times New Roman"/>
                <w:sz w:val="24"/>
              </w:rPr>
              <w:t xml:space="preserve">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1 742 288 000,00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1 01 02020 01 0000 110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/>
              <w:rPr>
                <w:rFonts w:ascii="Times New Roman" w:hAnsi="Times New Roman"/>
                <w:sz w:val="24"/>
                <w:szCs w:val="24"/>
              </w:rPr>
              <w:outlineLvl w:val="3"/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  <w:r>
              <w:rPr>
                <w:rFonts w:ascii="Times New Roman" w:hAnsi="Times New Roman"/>
                <w:sz w:val="24"/>
              </w:rPr>
              <w:t xml:space="preserve">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</w:t>
            </w:r>
            <w:r>
              <w:rPr>
                <w:rFonts w:ascii="Times New Roman" w:hAnsi="Times New Roman"/>
                <w:sz w:val="24"/>
              </w:rPr>
              <w:t xml:space="preserve">2025 года)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11 503 000,00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1 01 02021 01 0000 110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2.4 миллиона рублей и составляющей не более 5 миллионов рублей)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1 402 000,00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1 01 02022 01 0000 110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3 976 000,00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1 01 02023 01 0000 110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частной практикой в соответствии со статьей 227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рублей)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5 063 000,00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1 01 02024 01 0000 110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9 402 тысячи рублей, относящейся к части налоговой базы, превышающей  50 миллионов рублей)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2 505 000,00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1 01 02030 01 0000 110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</w:t>
            </w:r>
            <w:r>
              <w:rPr>
                <w:rFonts w:ascii="Times New Roman" w:hAnsi="Times New Roman"/>
                <w:sz w:val="24"/>
              </w:rPr>
              <w:t xml:space="preserve">(в части суммы налога, не превышающей 650 тысяч рублей за налоговые периоды до 1 января 2025 года, а также в части суммы налога, не превышающей </w:t>
            </w:r>
            <w:r>
              <w:rPr>
                <w:rFonts w:ascii="Times New Roman" w:hAnsi="Times New Roman"/>
                <w:sz w:val="24"/>
              </w:rPr>
              <w:t xml:space="preserve">312 тысяч рублей за налоговые периоды после 1 января 2025 года)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65 462 000,00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1 01 02040 01 0000 110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</w:rPr>
              <w:t xml:space="preserve">Налог на доходы физических лиц в </w:t>
            </w:r>
            <w:r>
              <w:rPr>
                <w:rFonts w:ascii="Times New Roman" w:hAnsi="Times New Roman"/>
                <w:sz w:val="24"/>
              </w:rPr>
              <w:t xml:space="preserve">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538 000,00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1 01 02080 01 0000 110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Cs w:val="24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превышающей 650 тысяч рублей, относящейся к части налоговой базы, превышающей 5 миллионов рублей, за налоговые периоды до 1 января 2025 года (за исключением доходов с сумм прибыли контролируемой иностран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ной компании, в том числе фиксированной прибыли контролируемой иностранной компании, доходов от долевого участия в организации, полученных физическим лицом - налоговым резидентом Российской Федерации в виде дивидендов), а также налог на доходы физических 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иц в части суммы налога, превышаю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щей 312 тысяч рублей, относящейся к части налоговой базы, превышающей 2,4 миллиона рублей и составляющей не более 5 миллионов рублей, за налоговые периоды после 1 января 2025 года (за исключением налога на доходы физических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лиц, уплачиваемого на основании налогового уведомления налогоплательщиками, для которых выполнено условие, предусмотренное </w:t>
            </w:r>
            <w:hyperlink r:id="rId9" w:tooltip="https://login.consultant.ru/link/?req=doc&amp;base=LAW&amp;n=525528&amp;dst=21197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 xml:space="preserve">абзацем восьмым пункта 6 статьи 228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Федерации, доходов, относящихся к налоговым базам, указанным в </w:t>
            </w:r>
            <w:hyperlink r:id="rId10" w:tooltip="https://login.consultant.ru/link/?req=doc&amp;base=LAW&amp;n=525528&amp;dst=26046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 xml:space="preserve">пунктах 6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11" w:tooltip="https://login.consultant.ru/link/?req=doc&amp;base=LAW&amp;n=525528&amp;dst=26864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 xml:space="preserve">6.1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hyperlink r:id="rId12" w:tooltip="https://login.consultant.ru/link/?req=doc&amp;base=LAW&amp;n=525528&amp;dst=26074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 xml:space="preserve">6.2 статьи 210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Федерации, доходов физических лиц, не являющихся налоговыми резидентами Российской Федерации, указанных в </w:t>
            </w:r>
            <w:hyperlink r:id="rId13" w:tooltip="https://login.consultant.ru/link/?req=doc&amp;base=LAW&amp;n=525528&amp;dst=21463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 xml:space="preserve">абзаце девятом пункта 3 статьи 224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Федерации)</w:t>
            </w:r>
            <w:r>
              <w:rPr>
                <w:rFonts w:ascii="Times New Roman" w:hAnsi="Times New Roman"/>
                <w:szCs w:val="24"/>
                <w14:ligatures w14:val="none"/>
              </w:rPr>
            </w:r>
            <w:r>
              <w:rPr>
                <w:rFonts w:ascii="Times New Roman" w:hAnsi="Times New Roman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37 208 000,00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1 01 02130 01 0000 110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</w:t>
            </w:r>
            <w:r>
              <w:rPr>
                <w:rFonts w:ascii="Times New Roman" w:hAnsi="Times New Roman"/>
                <w:sz w:val="24"/>
              </w:rPr>
              <w:t xml:space="preserve">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18 842 000,00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1 01 02140 01 0000 110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</w:t>
            </w:r>
            <w:r>
              <w:rPr>
                <w:rFonts w:ascii="Times New Roman" w:hAnsi="Times New Roman"/>
                <w:sz w:val="24"/>
              </w:rPr>
              <w:t xml:space="preserve">(в части суммы налога, превышающей 650 тысяч рублей за налоговые периоды до </w:t>
            </w:r>
            <w:r>
              <w:rPr>
                <w:rFonts w:ascii="Times New Roman" w:hAnsi="Times New Roman"/>
                <w:sz w:val="24"/>
              </w:rPr>
              <w:t xml:space="preserve">1 января 2025 года, а также в части суммы налога, превышающей </w:t>
            </w:r>
            <w:r>
              <w:rPr>
                <w:rFonts w:ascii="Times New Roman" w:hAnsi="Times New Roman"/>
                <w:sz w:val="24"/>
              </w:rPr>
              <w:t xml:space="preserve">312 тысяч рублей за налоговые периоды после 1 января 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  <w:p>
            <w:pPr>
              <w:pStyle w:val="860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</w:rPr>
              <w:t xml:space="preserve">2025 года)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64 675 000,00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1 01 02150 01 0000 110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 рублей (за исключением налога на доходы физических лиц в отношении 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оходов, указанных в </w:t>
            </w:r>
            <w:hyperlink r:id="rId14" w:tooltip="https://login.consultant.ru/link/?req=doc&amp;base=LAW&amp;n=495710&amp;dst=7714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 xml:space="preserve">абзаце тридцать девятом статьи 50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15" w:tooltip="https://login.consultant.ru/link/?req=doc&amp;base=LAW&amp;n=525528&amp;dst=26046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 xml:space="preserve">пункте 6 статьи 210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16" w:tooltip="https://login.consultant.ru/link/?req=doc&amp;base=LAW&amp;n=495710&amp;dst=6387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 xml:space="preserve">абзацах тридцать пятом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hyperlink r:id="rId17" w:tooltip="https://login.consultant.ru/link/?req=doc&amp;base=LAW&amp;n=495710&amp;dst=6388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 xml:space="preserve">тридцать шестом статьи 50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hyperlink r:id="rId18" w:tooltip="https://login.consultant.ru/link/?req=doc&amp;base=LAW&amp;n=525528&amp;dst=26121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 xml:space="preserve">абзаце девятом пункта 3 статьи 224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Федерации, в части суммы налога, превышающей </w:t>
            </w:r>
            <w:r>
              <w:rPr>
                <w:rFonts w:ascii="Times New Roman" w:hAnsi="Times New Roman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  <w:p>
            <w:pPr>
              <w:pStyle w:val="860"/>
              <w:jc w:val="both"/>
              <w:spacing w:after="0" w:line="240" w:lineRule="auto"/>
              <w:rPr>
                <w:rFonts w:ascii="Times New Roman" w:hAnsi="Times New Roman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312 тысяч рублей, относящейся к части налоговой базы, превышающей 2,4 миллиона рублей)</w:t>
            </w:r>
            <w:r>
              <w:rPr>
                <w:rFonts w:ascii="Times New Roman" w:hAnsi="Times New Roman"/>
                <w:szCs w:val="24"/>
                <w14:ligatures w14:val="none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3 602 000,00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1 01 02180 01 0000 110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алог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зических лиц в отношении доходов, указанных в абзацах тридцать пятом и тридцать шестом статьи 50 Бюджетного кодекса Российской Федерации, а также налога на доходы физических лиц в отношении доходов от долевого участия в организации, полученных физическим 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ицом налоговым резидентом Российской Федерации в виде дивидендов (в части суммы налога, превышающей 312 тысяч рублей)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100 000,00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1 01 02200 01 0000 110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jc w:val="both"/>
              <w:spacing w:after="0" w:line="240" w:lineRule="auto"/>
              <w:rPr>
                <w:rFonts w:ascii="Times New Roman" w:hAnsi="Times New Roman"/>
                <w:szCs w:val="24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относящейся к налоговой базе, указанной в </w:t>
            </w:r>
            <w:hyperlink r:id="rId19" w:tooltip="https://login.consultant.ru/link/?req=doc&amp;base=LAW&amp;n=525528&amp;dst=26864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 xml:space="preserve">пункте 6.1 статьи 210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Федерации, не превышающей 5 миллионов рублей</w:t>
            </w:r>
            <w:r>
              <w:rPr>
                <w:rFonts w:ascii="Times New Roman" w:hAnsi="Times New Roman"/>
                <w:szCs w:val="24"/>
                <w14:ligatures w14:val="none"/>
              </w:rPr>
            </w:r>
            <w:r>
              <w:rPr>
                <w:rFonts w:ascii="Times New Roman" w:hAnsi="Times New Roman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388 000,00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1 01 02210 01 0000 110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687 149 000,00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1 01 02230 01 0000 110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113 000,00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1 03 00000 00 0000 000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НАЛОГИ НА ТОВАРЫ (РАБОТЫ, УСЛУГИ), РЕАЛИЗУЕМЫЕ НА ТЕРРИТОРИИ РОССИЙСКОЙ ФЕДЕРАЦИИ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52 314 000,00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1 03 02000 01 0000 110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Акцизы по подакцизным товарам (продукции), производимым на территории Российской Федерации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52 314 000,00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1 03 02230 01 0000 110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27 374 000,00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1 03 02231 01 0000 110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уплаты акцизов на дизельное топливо, подлежащие распределению между бюджетами субъектов Российск</w:t>
            </w:r>
            <w:r>
              <w:rPr>
                <w:rFonts w:ascii="Times New Roman" w:hAnsi="Times New Roman"/>
                <w:sz w:val="24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27 374 000,00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1 03 02240 01 0000 110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уплаты акцизо</w:t>
            </w:r>
            <w:r>
              <w:rPr>
                <w:rFonts w:ascii="Times New Roman" w:hAnsi="Times New Roman"/>
                <w:sz w:val="24"/>
              </w:rPr>
              <w:t xml:space="preserve">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133 000,00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1 03 02241 01 0000 110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</w:t>
            </w:r>
            <w:r>
              <w:rPr>
                <w:rFonts w:ascii="Times New Roman" w:hAnsi="Times New Roman"/>
                <w:sz w:val="24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133 000,00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1 03 02250 01 0000 110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26 479 000,00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1 03 02251 01 0000 110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</w:t>
            </w:r>
            <w:r>
              <w:rPr>
                <w:rFonts w:ascii="Times New Roman" w:hAnsi="Times New Roman"/>
                <w:sz w:val="24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26 479 000,00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1 03 02260 01 0000 110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-1 672 000,00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1 03 02261 01 0000 110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уплаты акцизов на прямогонный бензин, подлежащие распределению между бюджетами субъектов Российск</w:t>
            </w:r>
            <w:r>
              <w:rPr>
                <w:rFonts w:ascii="Times New Roman" w:hAnsi="Times New Roman"/>
                <w:sz w:val="24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-1 672 000,00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1 05 00000 00 0000 000</w:t>
            </w:r>
            <w:r>
              <w:rPr>
                <w:rFonts w:ascii="Times New Roman" w:hAnsi="Times New Roman"/>
                <w:b/>
                <w:sz w:val="23"/>
                <w:szCs w:val="23"/>
              </w:rPr>
            </w:r>
            <w:r>
              <w:rPr>
                <w:rFonts w:ascii="Times New Roman" w:hAnsi="Times New Roman"/>
                <w:b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НАЛОГИ НА СОВОКУПНЫЙ ДОХОД</w:t>
            </w:r>
            <w:r>
              <w:rPr>
                <w:rFonts w:ascii="Times New Roman" w:hAnsi="Times New Roman"/>
                <w:b/>
                <w:sz w:val="23"/>
                <w:szCs w:val="23"/>
              </w:rPr>
            </w:r>
            <w:r>
              <w:rPr>
                <w:rFonts w:ascii="Times New Roman" w:hAnsi="Times New Roman"/>
                <w:b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79 539 029,20</w:t>
            </w:r>
            <w:r>
              <w:rPr>
                <w:rFonts w:ascii="Times New Roman" w:hAnsi="Times New Roman"/>
                <w:b/>
                <w:sz w:val="23"/>
                <w:szCs w:val="23"/>
              </w:rPr>
            </w:r>
            <w:r>
              <w:rPr>
                <w:rFonts w:ascii="Times New Roman" w:hAnsi="Times New Roman"/>
                <w:b/>
                <w:sz w:val="23"/>
                <w:szCs w:val="23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 w:val="0"/>
                <w:bCs w:val="0"/>
                <w:sz w:val="23"/>
                <w:szCs w:val="23"/>
              </w:rPr>
              <w:t xml:space="preserve">1 05 02000 02 0000 110</w:t>
            </w:r>
            <w:r>
              <w:rPr>
                <w:rFonts w:ascii="Times New Roman" w:hAnsi="Times New Roman"/>
                <w:b/>
                <w:sz w:val="23"/>
                <w:szCs w:val="23"/>
              </w:rPr>
            </w:r>
            <w:r>
              <w:rPr>
                <w:rFonts w:ascii="Times New Roman" w:hAnsi="Times New Roman"/>
                <w:b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  <w14:ligatures w14:val="none"/>
              </w:rPr>
            </w:pP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  <w:t xml:space="preserve">Единый налог на вмененный доход для отдельных видов деятельности</w:t>
            </w:r>
            <w:r>
              <w:rPr>
                <w:rFonts w:ascii="Times New Roman" w:hAnsi="Times New Roman"/>
                <w:sz w:val="23"/>
                <w:szCs w:val="23"/>
                <w14:ligatures w14:val="none"/>
              </w:rPr>
            </w:r>
            <w:r>
              <w:rPr>
                <w:rFonts w:ascii="Times New Roman" w:hAnsi="Times New Roman"/>
                <w:sz w:val="23"/>
                <w:szCs w:val="23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 w:val="0"/>
                <w:bCs w:val="0"/>
                <w:sz w:val="23"/>
                <w:szCs w:val="23"/>
              </w:rPr>
            </w:pPr>
            <w:r>
              <w:rPr>
                <w:rFonts w:ascii="Times New Roman" w:hAnsi="Times New Roman"/>
                <w:b w:val="0"/>
                <w:bCs w:val="0"/>
                <w:sz w:val="23"/>
                <w:szCs w:val="23"/>
              </w:rPr>
              <w:t xml:space="preserve">3 029,20</w:t>
            </w:r>
            <w:r>
              <w:rPr>
                <w:rFonts w:ascii="Times New Roman" w:hAnsi="Times New Roman"/>
                <w:b w:val="0"/>
                <w:bCs w:val="0"/>
                <w:sz w:val="23"/>
                <w:szCs w:val="23"/>
              </w:rPr>
            </w:r>
            <w:r>
              <w:rPr>
                <w:rFonts w:ascii="Times New Roman" w:hAnsi="Times New Roman"/>
                <w:b w:val="0"/>
                <w:bCs w:val="0"/>
                <w:sz w:val="23"/>
                <w:szCs w:val="23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 w:val="0"/>
                <w:bCs w:val="0"/>
                <w:sz w:val="23"/>
                <w:szCs w:val="23"/>
              </w:rPr>
            </w:pPr>
            <w:r>
              <w:rPr>
                <w:rFonts w:ascii="Times New Roman" w:hAnsi="Times New Roman"/>
                <w:b w:val="0"/>
                <w:bCs w:val="0"/>
                <w:sz w:val="23"/>
                <w:szCs w:val="23"/>
              </w:rPr>
              <w:t xml:space="preserve">1 05 02010 02 0000 110</w:t>
            </w:r>
            <w:r>
              <w:rPr>
                <w:rFonts w:ascii="Times New Roman" w:hAnsi="Times New Roman"/>
                <w:b w:val="0"/>
                <w:bCs w:val="0"/>
                <w:sz w:val="23"/>
                <w:szCs w:val="23"/>
              </w:rPr>
            </w:r>
            <w:r>
              <w:rPr>
                <w:rFonts w:ascii="Times New Roman" w:hAnsi="Times New Roman"/>
                <w:b w:val="0"/>
                <w:bCs w:val="0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  <w14:ligatures w14:val="none"/>
              </w:rPr>
            </w:pP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  <w:t xml:space="preserve">Единый налог на вмененный доход для отдельных видов деятельности</w:t>
            </w:r>
            <w:r>
              <w:rPr>
                <w:rFonts w:ascii="Times New Roman" w:hAnsi="Times New Roman"/>
                <w:sz w:val="23"/>
                <w:szCs w:val="23"/>
                <w14:ligatures w14:val="none"/>
              </w:rPr>
            </w:r>
            <w:r>
              <w:rPr>
                <w:rFonts w:ascii="Times New Roman" w:hAnsi="Times New Roman"/>
                <w:sz w:val="23"/>
                <w:szCs w:val="23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 w:val="0"/>
                <w:bCs w:val="0"/>
                <w:sz w:val="23"/>
                <w:szCs w:val="23"/>
              </w:rPr>
            </w:pPr>
            <w:r>
              <w:rPr>
                <w:rFonts w:ascii="Times New Roman" w:hAnsi="Times New Roman"/>
                <w:b w:val="0"/>
                <w:bCs w:val="0"/>
                <w:sz w:val="23"/>
                <w:szCs w:val="23"/>
              </w:rPr>
              <w:t xml:space="preserve">3 029,20</w:t>
            </w:r>
            <w:r>
              <w:rPr>
                <w:rFonts w:ascii="Times New Roman" w:hAnsi="Times New Roman"/>
                <w:b w:val="0"/>
                <w:bCs w:val="0"/>
                <w:sz w:val="23"/>
                <w:szCs w:val="23"/>
              </w:rPr>
            </w:r>
            <w:r>
              <w:rPr>
                <w:rFonts w:ascii="Times New Roman" w:hAnsi="Times New Roman"/>
                <w:b w:val="0"/>
                <w:bCs w:val="0"/>
                <w:sz w:val="23"/>
                <w:szCs w:val="23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 w:val="0"/>
                <w:bCs w:val="0"/>
                <w:sz w:val="23"/>
                <w:szCs w:val="23"/>
              </w:rPr>
            </w:pPr>
            <w:r>
              <w:rPr>
                <w:rFonts w:ascii="Times New Roman" w:hAnsi="Times New Roman"/>
                <w:b w:val="0"/>
                <w:bCs w:val="0"/>
                <w:sz w:val="23"/>
                <w:szCs w:val="23"/>
              </w:rPr>
              <w:t xml:space="preserve">1 05 03000 01 0000 110</w:t>
            </w:r>
            <w:r>
              <w:rPr>
                <w:rFonts w:ascii="Times New Roman" w:hAnsi="Times New Roman"/>
                <w:b w:val="0"/>
                <w:bCs w:val="0"/>
                <w:sz w:val="23"/>
                <w:szCs w:val="23"/>
              </w:rPr>
            </w:r>
            <w:r>
              <w:rPr>
                <w:rFonts w:ascii="Times New Roman" w:hAnsi="Times New Roman"/>
                <w:b w:val="0"/>
                <w:bCs w:val="0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Единый сельскохозяйственный налог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1 536 000,00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1 05 03010 01 0000 110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Единый сельскохозяйственный налог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1 536 000,00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1 05 04000 02 0000 110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Налог, взимаемый в связи с применением патентной системы налогообложения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78 000 000,00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1 05 04010 02 0000 110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Налог, взимаемый в связи с применением патентной системы налогообложения, зачисляемый в бюджеты городских округов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78 000 000,00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1 06 00000 00 0000 000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НАЛОГИ НА ИМУЩЕСТВО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298 000 000,00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1 06 01000 00 0000 110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Налог на имущество физических лиц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102 000 000,00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1 06 01020 04 0000 110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102 000 000,00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1 06 06000 00 0000 110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Земельный налог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196 000 000,00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1 06 06030 00 0000 110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Земельный налог с организаций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117 000 000,00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1 06 06032 04 0000 110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Земельный налог с организаций, обладающих земельным участком, расположенным в границах городских округов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117 000 000,00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1 06 06040 00 0000 110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Земельный налог с физических лиц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79 000 000,00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1 06 06042 04 0000 110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Земельный налог с физических лиц, обладающих земельным участком, расположенным в границах городских округов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79 000 000,00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1 08 00000 00 0000 000</w:t>
            </w:r>
            <w:r>
              <w:rPr>
                <w:rFonts w:ascii="Times New Roman" w:hAnsi="Times New Roman"/>
                <w:b/>
                <w:sz w:val="23"/>
                <w:szCs w:val="23"/>
              </w:rPr>
            </w:r>
            <w:r>
              <w:rPr>
                <w:rFonts w:ascii="Times New Roman" w:hAnsi="Times New Roman"/>
                <w:b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ГОСУДАРСТВЕННАЯ ПОШЛИНА</w:t>
            </w:r>
            <w:r>
              <w:rPr>
                <w:rFonts w:ascii="Times New Roman" w:hAnsi="Times New Roman"/>
                <w:b/>
                <w:sz w:val="23"/>
                <w:szCs w:val="23"/>
              </w:rPr>
            </w:r>
            <w:r>
              <w:rPr>
                <w:rFonts w:ascii="Times New Roman" w:hAnsi="Times New Roman"/>
                <w:b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64 210 000,00</w:t>
            </w:r>
            <w:r>
              <w:rPr>
                <w:rFonts w:ascii="Times New Roman" w:hAnsi="Times New Roman"/>
                <w:b/>
                <w:sz w:val="23"/>
                <w:szCs w:val="23"/>
              </w:rPr>
            </w:r>
            <w:r>
              <w:rPr>
                <w:rFonts w:ascii="Times New Roman" w:hAnsi="Times New Roman"/>
                <w:b/>
                <w:sz w:val="23"/>
                <w:szCs w:val="23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1 08 03000 01 0000 110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contextualSpacing w:val="0"/>
              <w:jc w:val="left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  <w:suppressLineNumbers w:val="0"/>
            </w:pPr>
            <w:r>
              <w:rPr>
                <w:rFonts w:ascii="Times New Roman" w:hAnsi="Times New Roman"/>
                <w:sz w:val="23"/>
                <w:szCs w:val="23"/>
              </w:rPr>
              <w:t xml:space="preserve">Государственная пошлина по делам, рассматриваемым в судах общей юрисдикции, мировыми судьями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64 000 000,00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1 08 03010 01 0000 110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64 000 000,00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1 08 07000 01 0000 110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/>
              <w:rPr>
                <w:rFonts w:ascii="Times New Roman" w:hAnsi="Times New Roman"/>
                <w:b/>
                <w:sz w:val="24"/>
                <w:szCs w:val="24"/>
              </w:rPr>
              <w:outlineLvl w:val="3"/>
              <w:suppressLineNumbers w:val="0"/>
            </w:pPr>
            <w:r>
              <w:rPr>
                <w:rFonts w:ascii="Times New Roman" w:hAnsi="Times New Roman"/>
                <w:b w:val="0"/>
                <w:bCs w:val="0"/>
                <w:sz w:val="23"/>
                <w:szCs w:val="23"/>
              </w:rPr>
              <w:t xml:space="preserve">Государственная пошлина за государственную регистрацию, а также за совершение прочих юридически значимых действий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210 000,00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1 08 07150 01 0000 110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Государственная пошлина за выдачу разрешения на установку рекламной конструкции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210 000,00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1 11 00000 00 0000 000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ДОХОДЫ ОТ ИСПОЛЬЗОВАНИЯ ИМУЩЕСТВА, НАХОДЯЩЕГОСЯ В ГОСУДАРСТВЕННОЙ И МУНИЦИПАЛЬНОЙ СОБСТВЕННОСТИ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406 141 767,72</w:t>
            </w:r>
            <w:r>
              <w:rPr>
                <w:rFonts w:ascii="Times New Roman" w:hAnsi="Times New Roman"/>
                <w:b/>
                <w:sz w:val="23"/>
                <w:szCs w:val="23"/>
              </w:rPr>
            </w:r>
            <w:r>
              <w:rPr>
                <w:rFonts w:ascii="Times New Roman" w:hAnsi="Times New Roman"/>
                <w:b/>
                <w:sz w:val="23"/>
                <w:szCs w:val="23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1 11 05000 00 0000 120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Доходы, получаемые в виде аренд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387 474 911,95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1 11 05010 00 0000 120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364 139 311,14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1 11 05012 04 0000 120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Доходы, п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364 139 311,14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1 11 05020 00 0000 120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Доходы, получаемы</w:t>
            </w:r>
            <w:r>
              <w:rPr>
                <w:rFonts w:ascii="Times New Roman" w:hAnsi="Times New Roman"/>
                <w:sz w:val="24"/>
              </w:rPr>
              <w:t xml:space="preserve">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1 872 000,00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1 11 05024 04 0000 120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1 872 000,00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1 11 05030 00 0000 120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сдачи в аренду иму</w:t>
            </w:r>
            <w:r>
              <w:rPr>
                <w:rFonts w:ascii="Times New Roman" w:hAnsi="Times New Roman"/>
                <w:sz w:val="24"/>
              </w:rPr>
              <w:t xml:space="preserve">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12 065 987,00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1 11 05034 04 0000 120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12 065 987,00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1 11 05070 00 0000 120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сдачи в аренду имущества, составляющего государственную (муниципальную) казну (за исключением земельных участков)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9 397 613,81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1 11 05074 04 0000 120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сдачи в аренду имущества, составляющего казну городских округов (за исключением земельных участков)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9 397 613,81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1 11 05300 00 0000 120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117 371,76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1 11 05310 00 0000 120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117 371,76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1 11 05312 04 0000 120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Плата по соглашениям об установлении сервитута, заключенным органами местного самоуправления городс</w:t>
            </w:r>
            <w:r>
              <w:rPr>
                <w:rFonts w:ascii="Times New Roman" w:hAnsi="Times New Roman"/>
                <w:sz w:val="24"/>
              </w:rPr>
              <w:t xml:space="preserve">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117 371,76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1 11 05400 00 0000 120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42 000,00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1 11 05410 00 0000 120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42 000,00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1 11 05410 04 0000 120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Плата </w:t>
            </w:r>
            <w:r>
              <w:rPr>
                <w:rFonts w:ascii="Times New Roman" w:hAnsi="Times New Roman"/>
                <w:sz w:val="24"/>
              </w:rPr>
              <w:t xml:space="preserve">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округов и не пре</w:t>
            </w:r>
            <w:r>
              <w:rPr>
                <w:rFonts w:ascii="Times New Roman" w:hAnsi="Times New Roman"/>
                <w:sz w:val="24"/>
              </w:rPr>
              <w:t xml:space="preserve">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42 000,00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1 11 09000 00 0000 120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д</w:t>
            </w:r>
            <w:r>
              <w:rPr>
                <w:rFonts w:ascii="Times New Roman" w:hAnsi="Times New Roman"/>
                <w:sz w:val="24"/>
              </w:rPr>
              <w:t xml:space="preserve">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18 507 484,01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1 11 09040 00 0000 120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</w:t>
            </w:r>
            <w:r>
              <w:rPr>
                <w:rFonts w:ascii="Times New Roman" w:hAnsi="Times New Roman"/>
                <w:sz w:val="24"/>
              </w:rPr>
              <w:t xml:space="preserve">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13 382 292,89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1 11 09044 04 0000 120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13 382 292,89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1 11 09080 00 0000 120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Плата, поступившая в рамках договора за предоставление права на размещение и эксплуатацию нестационарного</w:t>
            </w:r>
            <w:r>
              <w:rPr>
                <w:rFonts w:ascii="Times New Roman" w:hAnsi="Times New Roman"/>
                <w:sz w:val="24"/>
              </w:rPr>
              <w:t xml:space="preserve">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5 125 191,12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1 11 09080 04 0000 120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Плата, поступившая в рамках договора за предоставление права на размещение и эксплуатацию</w:t>
            </w:r>
            <w:r>
              <w:rPr>
                <w:rFonts w:ascii="Times New Roman" w:hAnsi="Times New Roman"/>
                <w:sz w:val="24"/>
              </w:rPr>
              <w:t xml:space="preserve">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5 125 191,12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1 12 00000 00 0000 000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ПЛАТЕЖИ ПРИ ПОЛЬЗОВАНИИ ПРИРОДНЫМИ РЕСУРСАМИ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9 300 000,00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1 12 01000 01 0000 120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Плата за негативное воздействие на окружающую среду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9 300 000,00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1 12 01010 01 0000 120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Плата за выбросы загрязняющих веществ в атмосферный воздух стационарными объектами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1 500 000,00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1 12 01030 01 0000 120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Плата за сбросы загрязняющих веществ в водные объекты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3 800 000,00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1 12 01040 01 0000 120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Плата за размещение отходов производства и потребления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4 000 000,00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1 12 01041 01 0000 120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Плата за размещение отходов производства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4 000 000,00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1 13 00000 00 0000 000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ДОХОДЫ ОТ ОКАЗАНИЯ ПЛАТНЫХ УСЛУГ И КОМПЕНСАЦИИ ЗАТРАТ ГОСУДАРСТВА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70 123 600,77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1 13 01000 00 0000 130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оказания платных услуг (работ)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68 320 500,00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1 13 01990 00 0000 130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доходы от оказания платных услуг (работ)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68 320 500,00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1 13 01994 04 0000 130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доходы от оказания платных услуг (работ) получателями средств бюджетов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68 320 500,00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1 13 02000 00 0000 130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компенсации затрат государства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1 803 100,77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1 13 02060 00 0000 130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Доходы, поступающие в порядке возмещения расходов, понесенных в связи с эксплуатацией имущества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1 715 013,47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1 13 02064 04 0000 130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Доходы, поступающие в порядке возмещения расходов, понесенных в связи с эксплуатацией имущества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1 715 013,47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1 13 02990 00 0000 130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доходы от компенсации затрат государства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88 087,30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1 13 02994 04 0000 130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доходы от компенсации затрат бюджетов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88 087,30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1 14 00000 00 0000 000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ДОХОДЫ ОТ ПРОДАЖИ МАТЕРИАЛЬНЫХ И НЕМАТЕРИАЛЬНЫХ АКТИВОВ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280 947 964,00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1 14 02000 00 0000 000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</w:t>
            </w:r>
            <w:r>
              <w:rPr>
                <w:rFonts w:ascii="Times New Roman" w:hAnsi="Times New Roman"/>
                <w:sz w:val="24"/>
              </w:rPr>
              <w:t xml:space="preserve">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12 847 964,00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1 14 02040 04 0000 410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реализации имущества, находящегося </w:t>
            </w:r>
            <w:r>
              <w:rPr>
                <w:rFonts w:ascii="Times New Roman" w:hAnsi="Times New Roman"/>
                <w:sz w:val="24"/>
              </w:rPr>
              <w:t xml:space="preserve">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12 847 964,00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1 14 02043 04 0000 410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реализации иного имущества, нах</w:t>
            </w:r>
            <w:r>
              <w:rPr>
                <w:rFonts w:ascii="Times New Roman" w:hAnsi="Times New Roman"/>
                <w:sz w:val="24"/>
              </w:rPr>
              <w:t xml:space="preserve">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12 847 964,00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1 14 06000 00 0000 430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продажи земельных участков, находящихся в государственной и муниципальной собственности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167 100 000,00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1 14 06010 00 0000 430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продажи земельных участков, государственная собственность на которые не разграничена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167 100 000,00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1 14 06012 04 0000 430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167 100 000,00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1 14 06300 00 0000 430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101 000 000,00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1 14 06310 00 0000 430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101 000 000,00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1 14 06312 04 0000 430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</w:t>
            </w:r>
            <w:r>
              <w:rPr>
                <w:rFonts w:ascii="Times New Roman" w:hAnsi="Times New Roman"/>
                <w:sz w:val="24"/>
              </w:rPr>
              <w:t xml:space="preserve"> собственность на которые не разграничена и которые расположены в границах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101 000 000,00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1 16 00000 00 0000 000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ШТРАФЫ, САНКЦИИ, ВОЗМЕЩЕНИЕ УЩЕРБА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34 991 624,62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1 16 01000 01 0000 140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Кодексом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1 007 500,00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1 16 01050 01 0000 140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1 16 01053 01 0000 140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</w:t>
            </w:r>
            <w:r>
              <w:rPr>
                <w:rFonts w:ascii="Times New Roman" w:hAnsi="Times New Roman"/>
                <w:sz w:val="24"/>
              </w:rPr>
              <w:t xml:space="preserve">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1 16 01060 01 0000 140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1 16 01063 01 0000 140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6 Кодекса Российской Федерации об админ</w:t>
            </w:r>
            <w:r>
              <w:rPr>
                <w:rFonts w:ascii="Times New Roman" w:hAnsi="Times New Roman"/>
                <w:sz w:val="24"/>
              </w:rPr>
              <w:t xml:space="preserve">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1 16 01070 01 0000 140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1 16 01073 01 0000 140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</w:t>
            </w:r>
            <w:r>
              <w:rPr>
                <w:rFonts w:ascii="Times New Roman" w:hAnsi="Times New Roman"/>
                <w:sz w:val="24"/>
              </w:rPr>
              <w:t xml:space="preserve">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35 000,00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1 16 01074 01 0000 140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1 16 01080 01 0000 140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1 16 01083 01 0000 140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8 Кодекса </w:t>
            </w:r>
            <w:r>
              <w:rPr>
                <w:rFonts w:ascii="Times New Roman" w:hAnsi="Times New Roman"/>
                <w:sz w:val="24"/>
              </w:rPr>
              <w:t xml:space="preserve">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1 16 01140 01 0000 140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75 000,00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1 16 01143 01 0000 140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14 Кодекса Российско</w:t>
            </w:r>
            <w:r>
              <w:rPr>
                <w:rFonts w:ascii="Times New Roman" w:hAnsi="Times New Roman"/>
                <w:sz w:val="24"/>
              </w:rPr>
              <w:t xml:space="preserve">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75 000,00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1 16 01150 01 0000 140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15 Кодек</w:t>
            </w:r>
            <w:r>
              <w:rPr>
                <w:rFonts w:ascii="Times New Roman" w:hAnsi="Times New Roman"/>
                <w:sz w:val="24"/>
              </w:rPr>
              <w:t xml:space="preserve">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84 500,00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1 16 01153 01 0000 140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</w:t>
            </w:r>
            <w:r>
              <w:rPr>
                <w:rFonts w:ascii="Times New Roman" w:hAnsi="Times New Roman"/>
                <w:sz w:val="24"/>
              </w:rPr>
              <w:t xml:space="preserve">ства, использования и обращения драгоценных металлов и драгоценных камней (за исключением штрафов, указанных в пункте 6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82 000,00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1 16 01154 01 0000 140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</w:t>
            </w:r>
            <w:r>
              <w:rPr>
                <w:rFonts w:ascii="Times New Roman" w:hAnsi="Times New Roman"/>
                <w:sz w:val="24"/>
              </w:rPr>
              <w:t xml:space="preserve">умаг, добычи, производства, использования и обращения драгоценных металлов и драгоценных камней (за исключением штрафов, указанных в пункте 6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статьи 46 Бюджетного кодекса Российской Федерации), выявленные должностными лицами органов муниципального контроля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2 500,00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1 16 01160 01 0000 140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1 16 01163 01 0000 140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</w:t>
            </w:r>
            <w:r>
              <w:rPr>
                <w:rFonts w:ascii="Times New Roman" w:hAnsi="Times New Roman"/>
                <w:sz w:val="24"/>
              </w:rPr>
              <w:t xml:space="preserve">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1 16 01170 01 0000 140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1 16 01173 01 0000 140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</w:t>
            </w:r>
            <w:r>
              <w:rPr>
                <w:rFonts w:ascii="Times New Roman" w:hAnsi="Times New Roman"/>
                <w:sz w:val="24"/>
              </w:rPr>
              <w:t xml:space="preserve">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1 16 01190 01 0000 140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1 16 01193 01 0000 140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</w:t>
            </w:r>
            <w:r>
              <w:rPr>
                <w:rFonts w:ascii="Times New Roman" w:hAnsi="Times New Roman"/>
                <w:sz w:val="24"/>
              </w:rPr>
              <w:t xml:space="preserve">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1 16 01200 01 0000 140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1 16 01203 01 0000 140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</w:t>
            </w:r>
            <w:r>
              <w:rPr>
                <w:rFonts w:ascii="Times New Roman" w:hAnsi="Times New Roman"/>
                <w:sz w:val="24"/>
              </w:rPr>
              <w:t xml:space="preserve">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1 16 02000 02 0000 140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11 000 000,00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1 16 02020 02 0000 140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11 000 000,00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1 16 07000 00 0000 140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Штрафы, неустойки, пени, уплаченные в соответствии с законом или договором в случае неисполнения или ненадлеж</w:t>
            </w:r>
            <w:r>
              <w:rPr>
                <w:rFonts w:ascii="Times New Roman" w:hAnsi="Times New Roman"/>
                <w:sz w:val="24"/>
              </w:rPr>
              <w:t xml:space="preserve">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22 845 503,01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1 16 07010 00 0000 140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4 558 540,22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1 16 07010 04 0000 140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4 558 540,22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1 16 07090 00 0000 140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Иные штрафы, неустойки, п</w:t>
            </w:r>
            <w:r>
              <w:rPr>
                <w:rFonts w:ascii="Times New Roman" w:hAnsi="Times New Roman"/>
                <w:sz w:val="24"/>
              </w:rPr>
              <w:t xml:space="preserve">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18 286 962,79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1 16 07090 04 0000 140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18 286 962,79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1 16 10000 00 0000 140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Платежи в целях возмещения причиненного ущерба (убытков)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122 560,00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1 16 10120 00 0000 140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действовавшим в 2019 году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122 560,00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1 16 10123 01 0000 140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122 560,00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1 16 11000 01 0000 140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Платежи, уплачиваемые в целях возмещения вреда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16 061,61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1 16 11060 01 0000 140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Платежи, уплачиваемые в целях возмещения вреда, причиняемого автомобильным дорогам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16 061,61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1 16 11064 01 0000 140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16 061,61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1 17 00000 00 0000 000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ПРОЧИЕ НЕНАЛОГОВЫЕ ДОХОДЫ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4 300 000,00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1 17 05000 00 0000 180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неналоговые доходы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4 300 000,00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1 17 05040 04 0000 180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неналоговые доходы бюджетов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4 300 000,00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2 00 00000 00 0000 000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БЕЗВОЗМЕЗДНЫЕ ПОСТУПЛЕНИЯ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4 354 941 052,91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2 02 00000 00 0000 000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БЕЗВОЗМЕЗДНЫЕ ПОСТУПЛЕНИЯ ОТ ДРУГИХ БЮДЖЕТОВ БЮДЖЕТНОЙ СИСТЕМЫ РОССИЙСКОЙ ФЕДЕРАЦИИ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4 283 959 262,13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2 02 10000 00 0000 150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ДОТАЦИИ БЮДЖЕТАМ БЮДЖЕТНОЙ СИСТЕМЫ РОССИЙСКОЙ ФЕДЕРАЦИИ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122 550 000,00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2 02 19999 00 0000 150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дотации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122 550 000,00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2 02 19999 04 0000 150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дотации бюджетам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122 550 000,00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2 02 20000 00 0000 150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СУБСИДИИ БЮДЖЕТАМ БЮДЖЕТНОЙ СИСТЕМЫ РОССИЙСКОЙ ФЕДЕРАЦИИ (МЕЖБЮДЖЕТНЫЕ СУБСИДИИ)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1 501 247 259,00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2 02 20077 00 0000 150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на софинансирование капитальных вложений в объекты муниципальной собственности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93 452 524,56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2 02 20077 04 0000 150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93 452 524,56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2 02 25081 00 0000 150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на государственную поддержку организаций, входящих в систему спортивной подготовки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383 209,88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2 02 25081 04 0000 150</w:t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на государственную поддержку организаций, входящих в систему спортивной подготовки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383 209,88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2 02 25315 00 0000 150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46 817 703,57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2 02 25315 04 0000 150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46 817 703,57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2 02 25424 00 0000 150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t xml:space="preserve">Субсидии бюджетам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309 278 350,51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2 02 25424 04 0000 150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309 278 350,51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2 02 25497 00 0000 150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на реализацию мероприятий по обеспечению жильем молодых семей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61 851 585,81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2 02 25497 04 0000 150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реализацию мероприятий по обеспечению жильем молодых семей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61 851 585,81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2 02 25505 00 0000 150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15 396 414,17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2 02 25505 04 0000 150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15 396 414,17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2 02 25513 00 0000 150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t xml:space="preserve">Субсидии бюджетам на модернизацию региональных и (или) муниципальных учреждений культуры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49 875 051,54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2 02 25513 04 0000 150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модернизацию муниципальных учреждений культуры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49 875 051,54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2 02 25519 00 0000 150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на поддержку отрасли культуры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1 361 069,96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2 02 25519 04 0000 150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поддержку отрасли культуры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1 361 069,96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2 02 25545 00 0000 150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t xml:space="preserve">С</w:t>
            </w:r>
            <w:r>
              <w:rPr>
                <w:rFonts w:ascii="Times New Roman" w:hAnsi="Times New Roman"/>
                <w:sz w:val="24"/>
              </w:rPr>
              <w:t xml:space="preserve">убсидии бюджетам на 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</w:t>
            </w:r>
            <w:r>
              <w:rPr>
                <w:rFonts w:ascii="Times New Roman" w:hAnsi="Times New Roman"/>
                <w:sz w:val="24"/>
              </w:rPr>
              <w:t xml:space="preserve">коммуникационной сети «Интернет»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7 147 496,96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2 02 25545 04 0000 150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t xml:space="preserve">С</w:t>
            </w:r>
            <w:r>
              <w:rPr>
                <w:rFonts w:ascii="Times New Roman" w:hAnsi="Times New Roman"/>
                <w:sz w:val="24"/>
              </w:rPr>
              <w:t xml:space="preserve">убсидии бюджетам городских округов на 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</w:t>
            </w:r>
            <w:r>
              <w:rPr>
                <w:rFonts w:ascii="Times New Roman" w:hAnsi="Times New Roman"/>
                <w:sz w:val="24"/>
              </w:rPr>
              <w:t xml:space="preserve">информационно-телекоммуникационной сети «Интернет»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7 147 496,96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2 02 25555 00 0000 150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на реализацию программ формирования современной городской среды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36 050 240,81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2 02 25555 04 0000 150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реализацию программ формирования современной городской среды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36 050 240,81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2 02 25750 00 0000 150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на реализацию мероприятий по модернизации школьных систем образования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128 592 901,23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2 02 25750 04 0000 150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реализацию мероприятий по модернизации школьных систем образования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128 592 901,23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2 02 25753 00 0000 150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на софинансирование закупки и монтажа оборудования для создания «умных» спортивных площадок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95 000 000,00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2 02 25753 04 0000 150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софинансирование закупки и монтажа оборудования для создания «умных» спортивных площадок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95 000 000,00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2 02 29999 00 0000 150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субсидии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656 040 710,00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2 02 29999 04 0000 150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субсидии бюджетам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656 040 710,00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2 02 30000 00 0000 150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СУБВЕНЦИИ БЮДЖЕТАМ БЮДЖЕТНОЙ СИСТЕМЫ РОССИЙСКОЙ ФЕДЕРАЦИИ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2 573 789 674,67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2 02 30024 00 0000 150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Субвенции местным бюджетам на выполнение передаваемых полномочий субъектов Российской Федерации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2 348 100 282,36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2 02 30024 04 0000 150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Субвенции бюджетам городских округов на выполнение передаваемых полномочий субъектов Российской Федерации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2 348 100 282,36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2 02 30029 00 0000 150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34 512 110,00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2 02 30029 04 0000 150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34 512 110,00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2 02 35082 00 0000 150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55 500 000,00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2 02 35082 04 0000 150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55 500 000,00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2 02 35120 00 0000 150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1 752 723,00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2 02 35120 04 0000 150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1 752 723,00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2 02 35304 00 0000 150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Субвенции бюджетам муниципальных образований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116 779 566,31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2 02 35304 04 0000 150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116 779 566,31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2 02 35930 00 0000 150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Субвенции бюджетам на государственную регистрацию актов гражданского состояния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9 758 000,00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2 02 35930 04 0000 150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Субвенции бюджетам городских округов на государственную регистрацию актов гражданского состояния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9 758 000,00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2 02 36900 00 0000 150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Единая субвенция местным бюджетам из бюджета субъекта Российской Федерации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5 845 841,00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2 02 36900 04 0000 150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Единая субвенция бюджетам городских округов из бюджета субъекта Российской Федерации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5 845 841,00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2 02 39999 00 0000 150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субвенции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1 541 152,00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2 02 39999 04 0000 150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субвенции бюджетам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1 541 152,00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2 02 40000 00 0000 150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ИНЫЕ МЕЖБЮДЖЕТНЫЕ ТРАНСФЕРТЫ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86 372 328,46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2 02 45050 00 0000 150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</w:t>
            </w:r>
            <w:r>
              <w:rPr>
                <w:rFonts w:ascii="Times New Roman" w:hAnsi="Times New Roman"/>
                <w:sz w:val="24"/>
              </w:rPr>
              <w:t xml:space="preserve">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2 343 600,00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2 02 45050 04 0000 150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</w:t>
            </w:r>
            <w:r>
              <w:rPr>
                <w:rFonts w:ascii="Times New Roman" w:hAnsi="Times New Roman"/>
                <w:sz w:val="24"/>
              </w:rPr>
              <w:t xml:space="preserve">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2 343 600,00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2 02 45179 00 0000 150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9 564 728,46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2 02 45179 04 0000 150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9 564 728,46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2 02 45303 00 0000 150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</w:t>
            </w:r>
            <w:r>
              <w:rPr>
                <w:rFonts w:ascii="Times New Roman" w:hAnsi="Times New Roman"/>
                <w:sz w:val="24"/>
              </w:rPr>
              <w:t xml:space="preserve">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69 264 000,00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2 02 45303 04 0000 150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</w:t>
            </w:r>
            <w:r>
              <w:rPr>
                <w:rFonts w:ascii="Times New Roman" w:hAnsi="Times New Roman"/>
                <w:sz w:val="24"/>
              </w:rPr>
              <w:t xml:space="preserve">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69 264 000,00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2 02 49999 00 0000 150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межбюджетные трансферты, передаваемые бюджетам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5 200 000,00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2 02 49999 04 0000 150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межбюджетные трансферты, передаваемые бюджетам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5 200 000,00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2 07 00000 00 0000 000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ПРОЧИЕ БЕЗВОЗМЕЗДНЫЕ ПОСТУПЛЕНИЯ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65 188 000,00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2 07 04000 04 0000 150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безвозмездные поступления в бюджеты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65 188 000,00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2 07 04020 04 0000 150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6 188 000,00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2 07 04050 04 0000 150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Прочие безвозмездные поступления в бюджеты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59 000 000,00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2 18 00000 00 0000 000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5 915 315,78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t xml:space="preserve">2 18 00000 04 0000 150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5 915 315,78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t xml:space="preserve">2 18 04000 04 0000 150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t xml:space="preserve">Доходы бюджетов городских округов от возврата организациями остатков субсидий прошлых лет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5 915 315,78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t xml:space="preserve">2 18 04010 04 0000 150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t xml:space="preserve">Доходы бюджетов городских округов от возврата бюджетными учреждениями остатков субсидий прошлых лет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5 915 315,78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2 19 00000 00 0000 000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-121 525,00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t xml:space="preserve">2 19 00000 04 0000 150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-121 525,00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t xml:space="preserve">2 19 45050 04 0000 150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t xml:space="preserve">В</w:t>
            </w:r>
            <w:r>
              <w:rPr>
                <w:rFonts w:ascii="Times New Roman" w:hAnsi="Times New Roman"/>
                <w:sz w:val="24"/>
              </w:rPr>
              <w:t xml:space="preserve">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</w:t>
            </w:r>
            <w:r>
              <w:rPr>
                <w:rFonts w:ascii="Times New Roman" w:hAnsi="Times New Roman"/>
                <w:sz w:val="24"/>
              </w:rPr>
              <w:t xml:space="preserve">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 из бюджетов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- 6 525,00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t xml:space="preserve">2 19 60010 04 0000 150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-115 000,00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00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  <w:r>
              <w:rPr>
                <w:sz w:val="4"/>
                <w:szCs w:val="4"/>
              </w:rPr>
            </w:r>
            <w:r>
              <w:rPr>
                <w:sz w:val="4"/>
                <w:szCs w:val="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664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 ДОХОДОВ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pStyle w:val="86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8 299 623 039,22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</w:tbl>
    <w:p>
      <w:r/>
      <w:r/>
    </w:p>
    <w:sectPr>
      <w:headerReference w:type="default" r:id="rId8"/>
      <w:footnotePr/>
      <w:endnotePr/>
      <w:type w:val="nextPage"/>
      <w:pgSz w:w="16838" w:h="11906" w:orient="landscape"/>
      <w:pgMar w:top="1418" w:right="510" w:bottom="709" w:left="567" w:header="709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Noto Sans Devanagari">
    <w:panose1 w:val="020B0502040504020204"/>
  </w:font>
  <w:font w:name="Segoe UI">
    <w:panose1 w:val="020B0502040504020204"/>
  </w:font>
  <w:font w:name="PT Astra Serif">
    <w:panose1 w:val="020A0603040505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9"/>
      <w:jc w:val="center"/>
      <w:rPr>
        <w:rFonts w:ascii="Liberation Serif" w:hAnsi="Liberation Serif" w:eastAsia="Liberation Serif" w:cs="Liberation Serif"/>
        <w:sz w:val="28"/>
        <w:szCs w:val="28"/>
        <w:highlight w:val="none"/>
      </w:rPr>
    </w:pPr>
    <w:fldSimple w:instr="PAGE \* MERGEFORMAT">
      <w:r>
        <w:rPr>
          <w:rFonts w:ascii="Liberation Serif" w:hAnsi="Liberation Serif" w:eastAsia="Liberation Serif" w:cs="Liberation Serif"/>
          <w:sz w:val="24"/>
          <w:szCs w:val="24"/>
        </w:rPr>
        <w:t xml:space="preserve">1</w:t>
      </w:r>
    </w:fldSimple>
    <w:r>
      <w:rPr>
        <w:rFonts w:ascii="Liberation Serif" w:hAnsi="Liberation Serif" w:eastAsia="Liberation Serif" w:cs="Liberation Serif"/>
        <w:sz w:val="24"/>
        <w:szCs w:val="24"/>
      </w:rPr>
    </w:r>
    <w:r>
      <w:rPr>
        <w:rFonts w:ascii="Liberation Serif" w:hAnsi="Liberation Serif" w:eastAsia="Liberation Serif" w:cs="Liberation Serif"/>
        <w:sz w:val="28"/>
        <w:szCs w:val="28"/>
        <w:highlight w:val="none"/>
      </w:rPr>
    </w:r>
    <w:r>
      <w:rPr>
        <w:rFonts w:ascii="Liberation Serif" w:hAnsi="Liberation Serif" w:eastAsia="Liberation Serif" w:cs="Liberation Serif"/>
        <w:sz w:val="28"/>
        <w:szCs w:val="28"/>
        <w:highlight w:val="none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9">
    <w:name w:val="Heading 1 Char"/>
    <w:basedOn w:val="695"/>
    <w:link w:val="686"/>
    <w:uiPriority w:val="9"/>
    <w:rPr>
      <w:rFonts w:ascii="Arial" w:hAnsi="Arial" w:eastAsia="Arial" w:cs="Arial"/>
      <w:sz w:val="40"/>
      <w:szCs w:val="40"/>
    </w:rPr>
  </w:style>
  <w:style w:type="character" w:styleId="670">
    <w:name w:val="Heading 2 Char"/>
    <w:basedOn w:val="695"/>
    <w:link w:val="687"/>
    <w:uiPriority w:val="9"/>
    <w:rPr>
      <w:rFonts w:ascii="Arial" w:hAnsi="Arial" w:eastAsia="Arial" w:cs="Arial"/>
      <w:sz w:val="34"/>
    </w:rPr>
  </w:style>
  <w:style w:type="character" w:styleId="671">
    <w:name w:val="Heading 3 Char"/>
    <w:basedOn w:val="695"/>
    <w:link w:val="688"/>
    <w:uiPriority w:val="9"/>
    <w:rPr>
      <w:rFonts w:ascii="Arial" w:hAnsi="Arial" w:eastAsia="Arial" w:cs="Arial"/>
      <w:sz w:val="30"/>
      <w:szCs w:val="30"/>
    </w:rPr>
  </w:style>
  <w:style w:type="character" w:styleId="672">
    <w:name w:val="Heading 4 Char"/>
    <w:basedOn w:val="695"/>
    <w:link w:val="689"/>
    <w:uiPriority w:val="9"/>
    <w:rPr>
      <w:rFonts w:ascii="Arial" w:hAnsi="Arial" w:eastAsia="Arial" w:cs="Arial"/>
      <w:b/>
      <w:bCs/>
      <w:sz w:val="26"/>
      <w:szCs w:val="26"/>
    </w:rPr>
  </w:style>
  <w:style w:type="character" w:styleId="673">
    <w:name w:val="Heading 5 Char"/>
    <w:basedOn w:val="695"/>
    <w:link w:val="690"/>
    <w:uiPriority w:val="9"/>
    <w:rPr>
      <w:rFonts w:ascii="Arial" w:hAnsi="Arial" w:eastAsia="Arial" w:cs="Arial"/>
      <w:b/>
      <w:bCs/>
      <w:sz w:val="24"/>
      <w:szCs w:val="24"/>
    </w:rPr>
  </w:style>
  <w:style w:type="character" w:styleId="674">
    <w:name w:val="Heading 6 Char"/>
    <w:basedOn w:val="695"/>
    <w:link w:val="691"/>
    <w:uiPriority w:val="9"/>
    <w:rPr>
      <w:rFonts w:ascii="Arial" w:hAnsi="Arial" w:eastAsia="Arial" w:cs="Arial"/>
      <w:b/>
      <w:bCs/>
      <w:sz w:val="22"/>
      <w:szCs w:val="22"/>
    </w:rPr>
  </w:style>
  <w:style w:type="character" w:styleId="675">
    <w:name w:val="Heading 7 Char"/>
    <w:basedOn w:val="695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6">
    <w:name w:val="Heading 8 Char"/>
    <w:basedOn w:val="695"/>
    <w:link w:val="693"/>
    <w:uiPriority w:val="9"/>
    <w:rPr>
      <w:rFonts w:ascii="Arial" w:hAnsi="Arial" w:eastAsia="Arial" w:cs="Arial"/>
      <w:i/>
      <w:iCs/>
      <w:sz w:val="22"/>
      <w:szCs w:val="22"/>
    </w:rPr>
  </w:style>
  <w:style w:type="character" w:styleId="677">
    <w:name w:val="Heading 9 Char"/>
    <w:basedOn w:val="695"/>
    <w:link w:val="694"/>
    <w:uiPriority w:val="9"/>
    <w:rPr>
      <w:rFonts w:ascii="Arial" w:hAnsi="Arial" w:eastAsia="Arial" w:cs="Arial"/>
      <w:i/>
      <w:iCs/>
      <w:sz w:val="21"/>
      <w:szCs w:val="21"/>
    </w:rPr>
  </w:style>
  <w:style w:type="character" w:styleId="678">
    <w:name w:val="Title Char"/>
    <w:basedOn w:val="695"/>
    <w:link w:val="728"/>
    <w:uiPriority w:val="10"/>
    <w:rPr>
      <w:sz w:val="48"/>
      <w:szCs w:val="48"/>
    </w:rPr>
  </w:style>
  <w:style w:type="character" w:styleId="679">
    <w:name w:val="Subtitle Char"/>
    <w:basedOn w:val="695"/>
    <w:link w:val="735"/>
    <w:uiPriority w:val="11"/>
    <w:rPr>
      <w:sz w:val="24"/>
      <w:szCs w:val="24"/>
    </w:rPr>
  </w:style>
  <w:style w:type="character" w:styleId="680">
    <w:name w:val="Quote Char"/>
    <w:link w:val="736"/>
    <w:uiPriority w:val="29"/>
    <w:rPr>
      <w:i/>
    </w:rPr>
  </w:style>
  <w:style w:type="character" w:styleId="681">
    <w:name w:val="Intense Quote Char"/>
    <w:link w:val="737"/>
    <w:uiPriority w:val="30"/>
    <w:rPr>
      <w:i/>
    </w:rPr>
  </w:style>
  <w:style w:type="character" w:styleId="682">
    <w:name w:val="Caption Char"/>
    <w:basedOn w:val="695"/>
    <w:link w:val="731"/>
    <w:uiPriority w:val="35"/>
    <w:rPr>
      <w:b/>
      <w:bCs/>
      <w:color w:val="4f81bd" w:themeColor="accent1"/>
      <w:sz w:val="18"/>
      <w:szCs w:val="18"/>
    </w:rPr>
  </w:style>
  <w:style w:type="character" w:styleId="683">
    <w:name w:val="Footnote Text Char"/>
    <w:link w:val="741"/>
    <w:uiPriority w:val="99"/>
    <w:rPr>
      <w:sz w:val="18"/>
    </w:rPr>
  </w:style>
  <w:style w:type="character" w:styleId="684">
    <w:name w:val="Endnote Text Char"/>
    <w:link w:val="742"/>
    <w:uiPriority w:val="99"/>
    <w:rPr>
      <w:sz w:val="20"/>
    </w:rPr>
  </w:style>
  <w:style w:type="paragraph" w:styleId="685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686">
    <w:name w:val="Heading 1"/>
    <w:basedOn w:val="685"/>
    <w:next w:val="685"/>
    <w:link w:val="69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7">
    <w:name w:val="Heading 2"/>
    <w:basedOn w:val="685"/>
    <w:next w:val="685"/>
    <w:link w:val="69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8">
    <w:name w:val="Heading 3"/>
    <w:basedOn w:val="685"/>
    <w:next w:val="685"/>
    <w:link w:val="70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9">
    <w:name w:val="Heading 4"/>
    <w:basedOn w:val="685"/>
    <w:next w:val="685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685"/>
    <w:next w:val="685"/>
    <w:link w:val="70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1">
    <w:name w:val="Heading 6"/>
    <w:basedOn w:val="685"/>
    <w:next w:val="685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92">
    <w:name w:val="Heading 7"/>
    <w:basedOn w:val="685"/>
    <w:next w:val="685"/>
    <w:link w:val="70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93">
    <w:name w:val="Heading 8"/>
    <w:basedOn w:val="685"/>
    <w:next w:val="685"/>
    <w:link w:val="70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94">
    <w:name w:val="Heading 9"/>
    <w:basedOn w:val="685"/>
    <w:next w:val="685"/>
    <w:link w:val="70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 w:default="1">
    <w:name w:val="Default Paragraph Font"/>
    <w:uiPriority w:val="1"/>
    <w:semiHidden/>
    <w:unhideWhenUsed/>
  </w:style>
  <w:style w:type="table" w:styleId="69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7" w:default="1">
    <w:name w:val="No List"/>
    <w:uiPriority w:val="99"/>
    <w:semiHidden/>
    <w:unhideWhenUsed/>
  </w:style>
  <w:style w:type="character" w:styleId="698" w:customStyle="1">
    <w:name w:val="Заголовок 1 Знак"/>
    <w:link w:val="686"/>
    <w:uiPriority w:val="9"/>
    <w:qFormat/>
    <w:rPr>
      <w:rFonts w:ascii="Arial" w:hAnsi="Arial" w:eastAsia="Arial" w:cs="Arial"/>
      <w:sz w:val="40"/>
      <w:szCs w:val="40"/>
    </w:rPr>
  </w:style>
  <w:style w:type="character" w:styleId="699" w:customStyle="1">
    <w:name w:val="Заголовок 2 Знак"/>
    <w:link w:val="687"/>
    <w:uiPriority w:val="9"/>
    <w:qFormat/>
    <w:rPr>
      <w:rFonts w:ascii="Arial" w:hAnsi="Arial" w:eastAsia="Arial" w:cs="Arial"/>
      <w:sz w:val="34"/>
    </w:rPr>
  </w:style>
  <w:style w:type="character" w:styleId="700" w:customStyle="1">
    <w:name w:val="Заголовок 3 Знак"/>
    <w:link w:val="688"/>
    <w:uiPriority w:val="9"/>
    <w:qFormat/>
    <w:rPr>
      <w:rFonts w:ascii="Arial" w:hAnsi="Arial" w:eastAsia="Arial" w:cs="Arial"/>
      <w:sz w:val="30"/>
      <w:szCs w:val="30"/>
    </w:rPr>
  </w:style>
  <w:style w:type="character" w:styleId="701" w:customStyle="1">
    <w:name w:val="Заголовок 4 Знак"/>
    <w:link w:val="689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02" w:customStyle="1">
    <w:name w:val="Заголовок 5 Знак"/>
    <w:link w:val="690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03" w:customStyle="1">
    <w:name w:val="Заголовок 6 Знак"/>
    <w:link w:val="691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04" w:customStyle="1">
    <w:name w:val="Заголовок 7 Знак"/>
    <w:link w:val="692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05" w:customStyle="1">
    <w:name w:val="Заголовок 8 Знак"/>
    <w:link w:val="693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06" w:customStyle="1">
    <w:name w:val="Заголовок 9 Знак"/>
    <w:link w:val="694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07" w:customStyle="1">
    <w:name w:val="Заголовок Знак"/>
    <w:link w:val="728"/>
    <w:uiPriority w:val="10"/>
    <w:qFormat/>
    <w:rPr>
      <w:sz w:val="48"/>
      <w:szCs w:val="48"/>
    </w:rPr>
  </w:style>
  <w:style w:type="character" w:styleId="708" w:customStyle="1">
    <w:name w:val="Подзаголовок Знак"/>
    <w:link w:val="735"/>
    <w:uiPriority w:val="11"/>
    <w:qFormat/>
    <w:rPr>
      <w:sz w:val="24"/>
      <w:szCs w:val="24"/>
    </w:rPr>
  </w:style>
  <w:style w:type="character" w:styleId="709" w:customStyle="1">
    <w:name w:val="Цитата 2 Знак"/>
    <w:link w:val="736"/>
    <w:uiPriority w:val="29"/>
    <w:qFormat/>
    <w:rPr>
      <w:i/>
    </w:rPr>
  </w:style>
  <w:style w:type="character" w:styleId="710" w:customStyle="1">
    <w:name w:val="Выделенная цитата Знак"/>
    <w:link w:val="737"/>
    <w:uiPriority w:val="30"/>
    <w:qFormat/>
    <w:rPr>
      <w:i/>
    </w:rPr>
  </w:style>
  <w:style w:type="character" w:styleId="711" w:customStyle="1">
    <w:name w:val="Header Char"/>
    <w:uiPriority w:val="99"/>
    <w:qFormat/>
  </w:style>
  <w:style w:type="character" w:styleId="712" w:customStyle="1">
    <w:name w:val="Footer Char"/>
    <w:uiPriority w:val="99"/>
    <w:qFormat/>
  </w:style>
  <w:style w:type="character" w:styleId="713" w:customStyle="1">
    <w:name w:val="Название объекта Знак"/>
    <w:link w:val="731"/>
    <w:uiPriority w:val="35"/>
    <w:qFormat/>
    <w:rPr>
      <w:b/>
      <w:bCs/>
      <w:color w:val="4f81bd" w:themeColor="accent1"/>
      <w:sz w:val="18"/>
      <w:szCs w:val="18"/>
    </w:rPr>
  </w:style>
  <w:style w:type="character" w:styleId="714">
    <w:name w:val="Hyperlink"/>
    <w:uiPriority w:val="99"/>
    <w:semiHidden/>
    <w:unhideWhenUsed/>
    <w:qFormat/>
    <w:rPr>
      <w:color w:val="0000ff"/>
      <w:u w:val="single"/>
    </w:rPr>
  </w:style>
  <w:style w:type="character" w:styleId="715" w:customStyle="1">
    <w:name w:val="Текст сноски Знак"/>
    <w:link w:val="741"/>
    <w:uiPriority w:val="99"/>
    <w:qFormat/>
    <w:rPr>
      <w:sz w:val="18"/>
    </w:rPr>
  </w:style>
  <w:style w:type="character" w:styleId="716" w:customStyle="1">
    <w:name w:val="Символ сноски"/>
    <w:uiPriority w:val="99"/>
    <w:unhideWhenUsed/>
    <w:qFormat/>
    <w:rPr>
      <w:vertAlign w:val="superscript"/>
    </w:rPr>
  </w:style>
  <w:style w:type="character" w:styleId="717">
    <w:name w:val="footnote reference"/>
    <w:rPr>
      <w:vertAlign w:val="superscript"/>
    </w:rPr>
  </w:style>
  <w:style w:type="character" w:styleId="718" w:customStyle="1">
    <w:name w:val="Текст концевой сноски Знак"/>
    <w:link w:val="742"/>
    <w:uiPriority w:val="99"/>
    <w:qFormat/>
    <w:rPr>
      <w:sz w:val="20"/>
    </w:rPr>
  </w:style>
  <w:style w:type="character" w:styleId="719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20">
    <w:name w:val="endnote reference"/>
    <w:rPr>
      <w:vertAlign w:val="superscript"/>
    </w:rPr>
  </w:style>
  <w:style w:type="character" w:styleId="721">
    <w:name w:val="FollowedHyperlink"/>
    <w:uiPriority w:val="99"/>
    <w:semiHidden/>
    <w:unhideWhenUsed/>
    <w:qFormat/>
    <w:rPr>
      <w:color w:val="800080"/>
      <w:u w:val="single"/>
    </w:rPr>
  </w:style>
  <w:style w:type="character" w:styleId="722" w:customStyle="1">
    <w:name w:val="Верхний колонтитул Знак"/>
    <w:link w:val="739"/>
    <w:uiPriority w:val="99"/>
    <w:qFormat/>
    <w:rPr>
      <w:sz w:val="22"/>
      <w:szCs w:val="22"/>
      <w:lang w:eastAsia="en-US"/>
    </w:rPr>
  </w:style>
  <w:style w:type="character" w:styleId="723" w:customStyle="1">
    <w:name w:val="Нижний колонтитул Знак"/>
    <w:link w:val="740"/>
    <w:uiPriority w:val="99"/>
    <w:qFormat/>
    <w:rPr>
      <w:sz w:val="22"/>
      <w:szCs w:val="22"/>
      <w:lang w:eastAsia="en-US"/>
    </w:rPr>
  </w:style>
  <w:style w:type="character" w:styleId="724" w:customStyle="1">
    <w:name w:val="Текст выноски Знак"/>
    <w:link w:val="857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character" w:styleId="725">
    <w:name w:val="annotation reference"/>
    <w:uiPriority w:val="99"/>
    <w:semiHidden/>
    <w:unhideWhenUsed/>
    <w:qFormat/>
    <w:rPr>
      <w:sz w:val="16"/>
      <w:szCs w:val="16"/>
    </w:rPr>
  </w:style>
  <w:style w:type="character" w:styleId="726" w:customStyle="1">
    <w:name w:val="Текст примечания Знак"/>
    <w:link w:val="858"/>
    <w:uiPriority w:val="99"/>
    <w:semiHidden/>
    <w:qFormat/>
    <w:rPr>
      <w:lang w:eastAsia="en-US"/>
    </w:rPr>
  </w:style>
  <w:style w:type="character" w:styleId="727" w:customStyle="1">
    <w:name w:val="Тема примечания Знак"/>
    <w:link w:val="859"/>
    <w:uiPriority w:val="99"/>
    <w:semiHidden/>
    <w:qFormat/>
    <w:rPr>
      <w:b/>
      <w:bCs/>
      <w:lang w:eastAsia="en-US"/>
    </w:rPr>
  </w:style>
  <w:style w:type="paragraph" w:styleId="728">
    <w:name w:val="Title"/>
    <w:basedOn w:val="685"/>
    <w:next w:val="729"/>
    <w:link w:val="70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29">
    <w:name w:val="Body Text"/>
    <w:basedOn w:val="685"/>
    <w:pPr>
      <w:spacing w:after="140" w:line="276" w:lineRule="auto"/>
    </w:pPr>
  </w:style>
  <w:style w:type="paragraph" w:styleId="730">
    <w:name w:val="List"/>
    <w:basedOn w:val="729"/>
    <w:rPr>
      <w:rFonts w:ascii="PT Astra Serif" w:hAnsi="PT Astra Serif" w:cs="Noto Sans Devanagari"/>
    </w:rPr>
  </w:style>
  <w:style w:type="paragraph" w:styleId="731">
    <w:name w:val="Caption"/>
    <w:basedOn w:val="685"/>
    <w:next w:val="685"/>
    <w:link w:val="7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32">
    <w:name w:val="index heading"/>
    <w:basedOn w:val="728"/>
  </w:style>
  <w:style w:type="paragraph" w:styleId="733">
    <w:name w:val="List Paragraph"/>
    <w:basedOn w:val="685"/>
    <w:uiPriority w:val="34"/>
    <w:qFormat/>
    <w:pPr>
      <w:contextualSpacing/>
      <w:ind w:left="720"/>
      <w:spacing w:after="0"/>
    </w:pPr>
  </w:style>
  <w:style w:type="paragraph" w:styleId="734">
    <w:name w:val="No Spacing"/>
    <w:uiPriority w:val="1"/>
    <w:qFormat/>
  </w:style>
  <w:style w:type="paragraph" w:styleId="735">
    <w:name w:val="Subtitle"/>
    <w:basedOn w:val="685"/>
    <w:next w:val="685"/>
    <w:link w:val="708"/>
    <w:uiPriority w:val="11"/>
    <w:qFormat/>
    <w:pPr>
      <w:spacing w:before="200" w:after="200"/>
    </w:pPr>
    <w:rPr>
      <w:sz w:val="24"/>
      <w:szCs w:val="24"/>
    </w:rPr>
  </w:style>
  <w:style w:type="paragraph" w:styleId="736">
    <w:name w:val="Quote"/>
    <w:basedOn w:val="685"/>
    <w:next w:val="685"/>
    <w:link w:val="709"/>
    <w:uiPriority w:val="29"/>
    <w:qFormat/>
    <w:pPr>
      <w:ind w:left="720" w:right="720"/>
    </w:pPr>
    <w:rPr>
      <w:i/>
    </w:rPr>
  </w:style>
  <w:style w:type="paragraph" w:styleId="737">
    <w:name w:val="Intense Quote"/>
    <w:basedOn w:val="685"/>
    <w:next w:val="685"/>
    <w:link w:val="710"/>
    <w:uiPriority w:val="30"/>
    <w:qFormat/>
    <w:pPr>
      <w:ind w:left="720" w:right="720"/>
      <w:spacing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38" w:customStyle="1">
    <w:name w:val="Колонтитул"/>
    <w:basedOn w:val="685"/>
    <w:qFormat/>
  </w:style>
  <w:style w:type="paragraph" w:styleId="739">
    <w:name w:val="Header"/>
    <w:basedOn w:val="685"/>
    <w:link w:val="722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740">
    <w:name w:val="Footer"/>
    <w:basedOn w:val="685"/>
    <w:link w:val="723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741">
    <w:name w:val="footnote text"/>
    <w:basedOn w:val="685"/>
    <w:link w:val="715"/>
    <w:uiPriority w:val="99"/>
    <w:semiHidden/>
    <w:unhideWhenUsed/>
    <w:pPr>
      <w:spacing w:after="40" w:line="240" w:lineRule="auto"/>
    </w:pPr>
    <w:rPr>
      <w:sz w:val="18"/>
    </w:rPr>
  </w:style>
  <w:style w:type="paragraph" w:styleId="742">
    <w:name w:val="endnote text"/>
    <w:basedOn w:val="685"/>
    <w:link w:val="718"/>
    <w:uiPriority w:val="99"/>
    <w:semiHidden/>
    <w:unhideWhenUsed/>
    <w:pPr>
      <w:spacing w:after="0" w:line="240" w:lineRule="auto"/>
    </w:pPr>
    <w:rPr>
      <w:sz w:val="20"/>
    </w:rPr>
  </w:style>
  <w:style w:type="paragraph" w:styleId="743">
    <w:name w:val="toc 1"/>
    <w:basedOn w:val="685"/>
    <w:next w:val="685"/>
    <w:uiPriority w:val="39"/>
    <w:unhideWhenUsed/>
    <w:pPr>
      <w:spacing w:after="57"/>
    </w:pPr>
  </w:style>
  <w:style w:type="paragraph" w:styleId="744">
    <w:name w:val="toc 2"/>
    <w:basedOn w:val="685"/>
    <w:next w:val="685"/>
    <w:uiPriority w:val="39"/>
    <w:unhideWhenUsed/>
    <w:pPr>
      <w:ind w:left="283"/>
      <w:spacing w:after="57"/>
    </w:pPr>
  </w:style>
  <w:style w:type="paragraph" w:styleId="745">
    <w:name w:val="toc 3"/>
    <w:basedOn w:val="685"/>
    <w:next w:val="685"/>
    <w:uiPriority w:val="39"/>
    <w:unhideWhenUsed/>
    <w:pPr>
      <w:ind w:left="567"/>
      <w:spacing w:after="57"/>
    </w:pPr>
  </w:style>
  <w:style w:type="paragraph" w:styleId="746">
    <w:name w:val="toc 4"/>
    <w:basedOn w:val="685"/>
    <w:next w:val="685"/>
    <w:uiPriority w:val="39"/>
    <w:unhideWhenUsed/>
    <w:pPr>
      <w:ind w:left="850"/>
      <w:spacing w:after="57"/>
    </w:pPr>
  </w:style>
  <w:style w:type="paragraph" w:styleId="747">
    <w:name w:val="toc 5"/>
    <w:basedOn w:val="685"/>
    <w:next w:val="685"/>
    <w:uiPriority w:val="39"/>
    <w:unhideWhenUsed/>
    <w:pPr>
      <w:ind w:left="1134"/>
      <w:spacing w:after="57"/>
    </w:pPr>
  </w:style>
  <w:style w:type="paragraph" w:styleId="748">
    <w:name w:val="toc 6"/>
    <w:basedOn w:val="685"/>
    <w:next w:val="685"/>
    <w:uiPriority w:val="39"/>
    <w:unhideWhenUsed/>
    <w:pPr>
      <w:ind w:left="1417"/>
      <w:spacing w:after="57"/>
    </w:pPr>
  </w:style>
  <w:style w:type="paragraph" w:styleId="749">
    <w:name w:val="toc 7"/>
    <w:basedOn w:val="685"/>
    <w:next w:val="685"/>
    <w:uiPriority w:val="39"/>
    <w:unhideWhenUsed/>
    <w:pPr>
      <w:ind w:left="1701"/>
      <w:spacing w:after="57"/>
    </w:pPr>
  </w:style>
  <w:style w:type="paragraph" w:styleId="750">
    <w:name w:val="toc 8"/>
    <w:basedOn w:val="685"/>
    <w:next w:val="685"/>
    <w:uiPriority w:val="39"/>
    <w:unhideWhenUsed/>
    <w:pPr>
      <w:ind w:left="1984"/>
      <w:spacing w:after="57"/>
    </w:pPr>
  </w:style>
  <w:style w:type="paragraph" w:styleId="751">
    <w:name w:val="toc 9"/>
    <w:basedOn w:val="685"/>
    <w:next w:val="685"/>
    <w:uiPriority w:val="39"/>
    <w:unhideWhenUsed/>
    <w:pPr>
      <w:ind w:left="2268"/>
      <w:spacing w:after="57"/>
    </w:pPr>
  </w:style>
  <w:style w:type="paragraph" w:styleId="752">
    <w:name w:val="TOC Heading"/>
    <w:uiPriority w:val="39"/>
    <w:unhideWhenUsed/>
    <w:qFormat/>
  </w:style>
  <w:style w:type="paragraph" w:styleId="753">
    <w:name w:val="table of figures"/>
    <w:basedOn w:val="685"/>
    <w:next w:val="685"/>
    <w:uiPriority w:val="99"/>
    <w:unhideWhenUsed/>
    <w:pPr>
      <w:spacing w:after="0"/>
    </w:pPr>
  </w:style>
  <w:style w:type="paragraph" w:styleId="754" w:customStyle="1">
    <w:name w:val="msonormal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55" w:customStyle="1">
    <w:name w:val="xl65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56" w:customStyle="1">
    <w:name w:val="xl66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57" w:customStyle="1">
    <w:name w:val="xl67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  <w:lang w:eastAsia="ru-RU"/>
    </w:rPr>
  </w:style>
  <w:style w:type="paragraph" w:styleId="758" w:customStyle="1">
    <w:name w:val="xl68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  <w:lang w:eastAsia="ru-RU"/>
    </w:rPr>
  </w:style>
  <w:style w:type="paragraph" w:styleId="759" w:customStyle="1">
    <w:name w:val="xl69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  <w:lang w:eastAsia="ru-RU"/>
    </w:rPr>
  </w:style>
  <w:style w:type="paragraph" w:styleId="760" w:customStyle="1">
    <w:name w:val="xl70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61" w:customStyle="1">
    <w:name w:val="xl71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62" w:customStyle="1">
    <w:name w:val="xl72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63" w:customStyle="1">
    <w:name w:val="xl73"/>
    <w:basedOn w:val="685"/>
    <w:qFormat/>
    <w:pPr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64" w:customStyle="1">
    <w:name w:val="xl74"/>
    <w:basedOn w:val="685"/>
    <w:qFormat/>
    <w:pPr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65" w:customStyle="1">
    <w:name w:val="xl75"/>
    <w:basedOn w:val="685"/>
    <w:qFormat/>
    <w:pPr>
      <w:spacing w:beforeAutospacing="1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66" w:customStyle="1">
    <w:name w:val="xl76"/>
    <w:basedOn w:val="685"/>
    <w:qFormat/>
    <w:pPr>
      <w:jc w:val="righ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67" w:customStyle="1">
    <w:name w:val="xl77"/>
    <w:basedOn w:val="685"/>
    <w:qFormat/>
    <w:pPr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68" w:customStyle="1">
    <w:name w:val="xl78"/>
    <w:basedOn w:val="685"/>
    <w:qFormat/>
    <w:pPr>
      <w:jc w:val="both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69" w:customStyle="1">
    <w:name w:val="xl79"/>
    <w:basedOn w:val="685"/>
    <w:qFormat/>
    <w:pPr>
      <w:jc w:val="both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70" w:customStyle="1">
    <w:name w:val="xl80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71" w:customStyle="1">
    <w:name w:val="xl81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72" w:customStyle="1">
    <w:name w:val="xl82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73" w:customStyle="1">
    <w:name w:val="xl83"/>
    <w:basedOn w:val="685"/>
    <w:qFormat/>
    <w:pPr>
      <w:jc w:val="both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74" w:customStyle="1">
    <w:name w:val="xl84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75" w:customStyle="1">
    <w:name w:val="xl85"/>
    <w:basedOn w:val="685"/>
    <w:qFormat/>
    <w:pPr>
      <w:jc w:val="both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76" w:customStyle="1">
    <w:name w:val="xl86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77" w:customStyle="1">
    <w:name w:val="xl87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78" w:customStyle="1">
    <w:name w:val="xl88"/>
    <w:basedOn w:val="685"/>
    <w:qFormat/>
    <w:pPr>
      <w:jc w:val="center"/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79" w:customStyle="1">
    <w:name w:val="xl89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80" w:customStyle="1">
    <w:name w:val="xl90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81" w:customStyle="1">
    <w:name w:val="xl91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82" w:customStyle="1">
    <w:name w:val="xl92"/>
    <w:basedOn w:val="685"/>
    <w:qFormat/>
    <w:pPr>
      <w:jc w:val="both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83" w:customStyle="1">
    <w:name w:val="xl93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84" w:customStyle="1">
    <w:name w:val="xl94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85" w:customStyle="1">
    <w:name w:val="xl95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86" w:customStyle="1">
    <w:name w:val="xl96"/>
    <w:basedOn w:val="685"/>
    <w:qFormat/>
    <w:pPr>
      <w:jc w:val="both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787" w:customStyle="1">
    <w:name w:val="xl97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788" w:customStyle="1">
    <w:name w:val="xl98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789" w:customStyle="1">
    <w:name w:val="xl99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790" w:customStyle="1">
    <w:name w:val="xl100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791" w:customStyle="1">
    <w:name w:val="xl101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792" w:customStyle="1">
    <w:name w:val="xl102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793" w:customStyle="1">
    <w:name w:val="xl103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b/>
      <w:bCs/>
      <w:sz w:val="28"/>
      <w:szCs w:val="28"/>
      <w:lang w:eastAsia="ru-RU"/>
    </w:rPr>
  </w:style>
  <w:style w:type="paragraph" w:styleId="794" w:customStyle="1">
    <w:name w:val="xl104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b/>
      <w:bCs/>
      <w:sz w:val="28"/>
      <w:szCs w:val="28"/>
      <w:lang w:eastAsia="ru-RU"/>
    </w:rPr>
  </w:style>
  <w:style w:type="paragraph" w:styleId="795" w:customStyle="1">
    <w:name w:val="xl105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b/>
      <w:bCs/>
      <w:sz w:val="28"/>
      <w:szCs w:val="28"/>
      <w:lang w:eastAsia="ru-RU"/>
    </w:rPr>
  </w:style>
  <w:style w:type="paragraph" w:styleId="796" w:customStyle="1">
    <w:name w:val="xl106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97" w:customStyle="1">
    <w:name w:val="xl107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98" w:customStyle="1">
    <w:name w:val="xl108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99" w:customStyle="1">
    <w:name w:val="xl109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00" w:customStyle="1">
    <w:name w:val="xl110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01" w:customStyle="1">
    <w:name w:val="xl111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02" w:customStyle="1">
    <w:name w:val="xl112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03" w:customStyle="1">
    <w:name w:val="xl113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04" w:customStyle="1">
    <w:name w:val="xl114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05" w:customStyle="1">
    <w:name w:val="xl115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06" w:customStyle="1">
    <w:name w:val="xl116"/>
    <w:basedOn w:val="685"/>
    <w:qFormat/>
    <w:pPr>
      <w:spacing w:beforeAutospacing="1" w:afterAutospacing="1" w:line="240" w:lineRule="auto"/>
      <w:shd w:val="clear" w:color="000000" w:fill="ffffff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07" w:customStyle="1">
    <w:name w:val="xl117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08" w:customStyle="1">
    <w:name w:val="xl118"/>
    <w:basedOn w:val="685"/>
    <w:qFormat/>
    <w:pPr>
      <w:spacing w:beforeAutospacing="1" w:afterAutospacing="1" w:line="240" w:lineRule="auto"/>
      <w:shd w:val="clear" w:color="000000" w:fill="ffffff"/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09" w:customStyle="1">
    <w:name w:val="xl119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10" w:customStyle="1">
    <w:name w:val="xl120"/>
    <w:basedOn w:val="685"/>
    <w:qFormat/>
    <w:pPr>
      <w:spacing w:beforeAutospacing="1" w:afterAutospacing="1" w:line="240" w:lineRule="auto"/>
      <w:shd w:val="clear" w:color="000000" w:fill="ffffff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11" w:customStyle="1">
    <w:name w:val="xl121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12" w:customStyle="1">
    <w:name w:val="xl122"/>
    <w:basedOn w:val="685"/>
    <w:qFormat/>
    <w:pPr>
      <w:jc w:val="both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13" w:customStyle="1">
    <w:name w:val="xl123"/>
    <w:basedOn w:val="685"/>
    <w:qFormat/>
    <w:pPr>
      <w:jc w:val="center"/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14" w:customStyle="1">
    <w:name w:val="xl124"/>
    <w:basedOn w:val="685"/>
    <w:qFormat/>
    <w:pPr>
      <w:jc w:val="both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15" w:customStyle="1">
    <w:name w:val="xl125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816" w:customStyle="1">
    <w:name w:val="xl126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817" w:customStyle="1">
    <w:name w:val="xl127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18" w:customStyle="1">
    <w:name w:val="xl128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19" w:customStyle="1">
    <w:name w:val="xl129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820" w:customStyle="1">
    <w:name w:val="xl130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21" w:customStyle="1">
    <w:name w:val="xl131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22" w:customStyle="1">
    <w:name w:val="xl132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823" w:customStyle="1">
    <w:name w:val="xl133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824" w:customStyle="1">
    <w:name w:val="xl134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25" w:customStyle="1">
    <w:name w:val="xl135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26" w:customStyle="1">
    <w:name w:val="xl136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27" w:customStyle="1">
    <w:name w:val="xl137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28" w:customStyle="1">
    <w:name w:val="xl138"/>
    <w:basedOn w:val="685"/>
    <w:qFormat/>
    <w:pPr>
      <w:jc w:val="center"/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29" w:customStyle="1">
    <w:name w:val="xl139"/>
    <w:basedOn w:val="685"/>
    <w:qFormat/>
    <w:pPr>
      <w:jc w:val="center"/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30" w:customStyle="1">
    <w:name w:val="xl140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31" w:customStyle="1">
    <w:name w:val="xl141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32" w:customStyle="1">
    <w:name w:val="xl142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833" w:customStyle="1">
    <w:name w:val="xl143"/>
    <w:basedOn w:val="685"/>
    <w:qFormat/>
    <w:pPr>
      <w:jc w:val="both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834" w:customStyle="1">
    <w:name w:val="xl144"/>
    <w:basedOn w:val="685"/>
    <w:qFormat/>
    <w:pPr>
      <w:jc w:val="center"/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835" w:customStyle="1">
    <w:name w:val="xl145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36" w:customStyle="1">
    <w:name w:val="xl146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37" w:customStyle="1">
    <w:name w:val="xl147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38" w:customStyle="1">
    <w:name w:val="xl148"/>
    <w:basedOn w:val="685"/>
    <w:qFormat/>
    <w:pPr>
      <w:jc w:val="center"/>
      <w:spacing w:beforeAutospacing="1" w:afterAutospacing="1" w:line="240" w:lineRule="auto"/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39" w:customStyle="1">
    <w:name w:val="xl149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40" w:customStyle="1">
    <w:name w:val="xl150"/>
    <w:basedOn w:val="685"/>
    <w:qFormat/>
    <w:pPr>
      <w:jc w:val="center"/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41" w:customStyle="1">
    <w:name w:val="xl151"/>
    <w:basedOn w:val="685"/>
    <w:qFormat/>
    <w:pPr>
      <w:jc w:val="center"/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42" w:customStyle="1">
    <w:name w:val="xl152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43" w:customStyle="1">
    <w:name w:val="xl153"/>
    <w:basedOn w:val="685"/>
    <w:qFormat/>
    <w:pPr>
      <w:jc w:val="center"/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44" w:customStyle="1">
    <w:name w:val="xl154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8"/>
      <w:szCs w:val="28"/>
      <w:lang w:eastAsia="ru-RU"/>
    </w:rPr>
  </w:style>
  <w:style w:type="paragraph" w:styleId="845" w:customStyle="1">
    <w:name w:val="xl155"/>
    <w:basedOn w:val="685"/>
    <w:qFormat/>
    <w:pPr>
      <w:jc w:val="center"/>
      <w:spacing w:beforeAutospacing="1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46" w:customStyle="1">
    <w:name w:val="xl156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47" w:customStyle="1">
    <w:name w:val="xl157"/>
    <w:basedOn w:val="685"/>
    <w:qFormat/>
    <w:pPr>
      <w:jc w:val="center"/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48" w:customStyle="1">
    <w:name w:val="xl158"/>
    <w:basedOn w:val="685"/>
    <w:qFormat/>
    <w:pPr>
      <w:jc w:val="both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49" w:customStyle="1">
    <w:name w:val="xl159"/>
    <w:basedOn w:val="685"/>
    <w:qFormat/>
    <w:pPr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50" w:customStyle="1">
    <w:name w:val="xl160"/>
    <w:basedOn w:val="685"/>
    <w:qFormat/>
    <w:pPr>
      <w:jc w:val="both"/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51" w:customStyle="1">
    <w:name w:val="xl161"/>
    <w:basedOn w:val="685"/>
    <w:qFormat/>
    <w:pPr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52" w:customStyle="1">
    <w:name w:val="xl162"/>
    <w:basedOn w:val="685"/>
    <w:qFormat/>
    <w:pPr>
      <w:spacing w:beforeAutospacing="1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53" w:customStyle="1">
    <w:name w:val="xl163"/>
    <w:basedOn w:val="685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54" w:customStyle="1">
    <w:name w:val="xl164"/>
    <w:basedOn w:val="685"/>
    <w:qFormat/>
    <w:pPr>
      <w:jc w:val="center"/>
      <w:spacing w:beforeAutospacing="1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855" w:customStyle="1">
    <w:name w:val="xl165"/>
    <w:basedOn w:val="685"/>
    <w:qFormat/>
    <w:pPr>
      <w:spacing w:beforeAutospacing="1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856" w:customStyle="1">
    <w:name w:val="xl166"/>
    <w:basedOn w:val="685"/>
    <w:qFormat/>
    <w:pPr>
      <w:spacing w:beforeAutospacing="1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857">
    <w:name w:val="Balloon Text"/>
    <w:basedOn w:val="685"/>
    <w:link w:val="72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58">
    <w:name w:val="annotation text"/>
    <w:basedOn w:val="685"/>
    <w:link w:val="726"/>
    <w:uiPriority w:val="99"/>
    <w:semiHidden/>
    <w:unhideWhenUsed/>
    <w:qFormat/>
    <w:rPr>
      <w:sz w:val="20"/>
      <w:szCs w:val="20"/>
    </w:rPr>
  </w:style>
  <w:style w:type="paragraph" w:styleId="859">
    <w:name w:val="annotation subject"/>
    <w:basedOn w:val="858"/>
    <w:next w:val="858"/>
    <w:link w:val="727"/>
    <w:uiPriority w:val="99"/>
    <w:semiHidden/>
    <w:unhideWhenUsed/>
    <w:qFormat/>
    <w:rPr>
      <w:b/>
      <w:bCs/>
    </w:rPr>
  </w:style>
  <w:style w:type="paragraph" w:styleId="860" w:customStyle="1">
    <w:name w:val="Содержимое таблицы"/>
    <w:basedOn w:val="685"/>
    <w:qFormat/>
    <w:pPr>
      <w:widowControl w:val="off"/>
      <w:suppressLineNumbers/>
    </w:pPr>
  </w:style>
  <w:style w:type="paragraph" w:styleId="861" w:customStyle="1">
    <w:name w:val="Заголовок таблицы"/>
    <w:basedOn w:val="860"/>
    <w:qFormat/>
    <w:pPr>
      <w:jc w:val="center"/>
    </w:pPr>
    <w:rPr>
      <w:b/>
      <w:bCs/>
    </w:rPr>
  </w:style>
  <w:style w:type="numbering" w:styleId="862" w:customStyle="1">
    <w:name w:val="Нет списка1"/>
    <w:uiPriority w:val="99"/>
    <w:semiHidden/>
    <w:unhideWhenUsed/>
    <w:qFormat/>
  </w:style>
  <w:style w:type="table" w:styleId="863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4" w:customStyle="1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5">
    <w:name w:val="Plain Table 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66">
    <w:name w:val="Plain Table 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67">
    <w:name w:val="Plain Table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fffff" w:themeFill="text1" w:themeFillTint="00"/>
      </w:tcPr>
    </w:tblStylePr>
    <w:tblStylePr w:type="band1Vert">
      <w:rPr>
        <w:sz w:val="22"/>
      </w:rPr>
      <w:tcPr>
        <w:shd w:val="clear" w:color="ffffff" w:fill="ffffff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868">
    <w:name w:val="Plain Table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fffff" w:themeFill="text1" w:themeFillTint="00"/>
      </w:tcPr>
    </w:tblStylePr>
    <w:tblStylePr w:type="band1Vert">
      <w:rPr>
        <w:sz w:val="22"/>
      </w:rPr>
      <w:tcPr>
        <w:shd w:val="clear" w:color="ffffff" w:fill="ffffff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869">
    <w:name w:val="Plain Table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fffff" w:themeFill="text1" w:themeFillTint="00"/>
      </w:tcPr>
    </w:tblStylePr>
    <w:tblStylePr w:type="band1Vert">
      <w:rPr>
        <w:sz w:val="22"/>
      </w:rPr>
      <w:tcPr>
        <w:shd w:val="clear" w:color="ffffff" w:fill="ffffff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0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1" w:customStyle="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2" w:customStyle="1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3" w:customStyle="1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4" w:customStyle="1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5" w:customStyle="1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6" w:customStyle="1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7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2dcdc" w:themeFill="accent2" w:themeFillTint="32"/>
      </w:tcPr>
    </w:tblStylePr>
    <w:tblStylePr w:type="band1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af1dc" w:themeFill="accent3" w:themeFillTint="34"/>
      </w:tcPr>
    </w:tblStylePr>
    <w:tblStylePr w:type="band1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2dcdc" w:themeFill="accent2" w:themeFillTint="32"/>
      </w:tcPr>
    </w:tblStylePr>
    <w:tblStylePr w:type="band1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af1dc" w:themeFill="accent3" w:themeFillTint="34"/>
      </w:tcPr>
    </w:tblStylePr>
    <w:tblStylePr w:type="band1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892" w:customStyle="1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ce6f2" w:themeFill="accent1" w:themeFillTint="32"/>
      </w:tcPr>
    </w:tblStylePr>
    <w:tblStylePr w:type="band1Vert">
      <w:rPr>
        <w:sz w:val="22"/>
      </w:rPr>
      <w:tcPr>
        <w:shd w:val="clear" w:color="ffffff" w:fill="dce6f2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d8ac2" w:themeFill="accent1" w:themeFillTint="EA"/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</w:tcBorders>
      </w:tcPr>
    </w:tblStylePr>
  </w:style>
  <w:style w:type="table" w:styleId="893" w:customStyle="1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2dcdc" w:themeFill="accent2" w:themeFillTint="32"/>
      </w:tcPr>
    </w:tblStylePr>
    <w:tblStylePr w:type="band1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5" w:themeFill="accent2" w:themeFillTint="97"/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</w:tcBorders>
      </w:tcPr>
    </w:tblStylePr>
  </w:style>
  <w:style w:type="table" w:styleId="894" w:customStyle="1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af1dc" w:themeFill="accent3" w:themeFillTint="34"/>
      </w:tcPr>
    </w:tblStylePr>
    <w:tblStylePr w:type="band1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abb59" w:themeFill="accent3" w:themeFillTint="FE"/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</w:tcBorders>
      </w:tcPr>
    </w:tblStylePr>
  </w:style>
  <w:style w:type="table" w:styleId="895" w:customStyle="1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</w:tcBorders>
      </w:tcPr>
    </w:tblStylePr>
  </w:style>
  <w:style w:type="table" w:styleId="896" w:customStyle="1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</w:tcBorders>
      </w:tcPr>
    </w:tblStylePr>
  </w:style>
  <w:style w:type="table" w:styleId="897" w:customStyle="1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</w:tcBorders>
      </w:tcPr>
    </w:tblStylePr>
  </w:style>
  <w:style w:type="table" w:styleId="898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shd w:val="clear" w:color="ffffff" w:fill="000000" w:themeFill="text1"/>
        <w:tcBorders>
          <w:top w:val="single" w:color="FFFFFF" w:themeColor="light1" w:sz="4" w:space="0"/>
        </w:tcBorders>
      </w:tcPr>
    </w:tblStylePr>
  </w:style>
  <w:style w:type="table" w:styleId="899" w:customStyle="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aec4e0" w:themeFill="accent1" w:themeFillTint="75"/>
      </w:tcPr>
    </w:tblStylePr>
    <w:tblStylePr w:type="band1Vert">
      <w:tcPr>
        <w:shd w:val="clear" w:color="ffffff" w:fill="aec4e0" w:themeFill="accent1" w:themeFillTint="75"/>
      </w:tcPr>
    </w:tblStylePr>
    <w:tblStylePr w:type="firstCol">
      <w:rPr>
        <w:b/>
        <w:sz w:val="22"/>
      </w:rPr>
      <w:tcPr>
        <w:shd w:val="clear" w:color="ffffff" w:fill="4f81bd" w:themeFill="accent1"/>
      </w:tc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  <w:sz w:val="22"/>
      </w:rPr>
      <w:tcPr>
        <w:shd w:val="clear" w:color="ffffff" w:fill="4f81bd" w:themeFill="accent1"/>
      </w:tcPr>
    </w:tblStylePr>
    <w:tblStylePr w:type="lastRow">
      <w:rPr>
        <w:b/>
        <w:sz w:val="22"/>
      </w:rPr>
      <w:tcPr>
        <w:shd w:val="clear" w:color="ffffff" w:fill="4f81bd" w:themeFill="accent1"/>
        <w:tcBorders>
          <w:top w:val="single" w:color="FFFFFF" w:themeColor="light1" w:sz="4" w:space="0"/>
        </w:tcBorders>
      </w:tcPr>
    </w:tblStylePr>
  </w:style>
  <w:style w:type="table" w:styleId="900" w:customStyle="1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e2aead" w:themeFill="accent2" w:themeFillTint="75"/>
      </w:tcPr>
    </w:tblStylePr>
    <w:tblStylePr w:type="band1Vert">
      <w:tcPr>
        <w:shd w:val="clear" w:color="ffffff" w:fill="e2aead" w:themeFill="accent2" w:themeFillTint="75"/>
      </w:tcPr>
    </w:tblStylePr>
    <w:tblStylePr w:type="firstCol">
      <w:rPr>
        <w:b/>
        <w:sz w:val="22"/>
      </w:rPr>
      <w:tcPr>
        <w:shd w:val="clear" w:color="ffffff" w:fill="c0504d" w:themeFill="accent2"/>
      </w:tc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  <w:sz w:val="22"/>
      </w:rPr>
      <w:tcPr>
        <w:shd w:val="clear" w:color="ffffff" w:fill="c0504d" w:themeFill="accent2"/>
      </w:tcPr>
    </w:tblStylePr>
    <w:tblStylePr w:type="lastRow">
      <w:rPr>
        <w:b/>
        <w:sz w:val="22"/>
      </w:rPr>
      <w:tcPr>
        <w:shd w:val="clear" w:color="ffffff" w:fill="c0504d" w:themeFill="accent2"/>
        <w:tcBorders>
          <w:top w:val="single" w:color="FFFFFF" w:themeColor="light1" w:sz="4" w:space="0"/>
        </w:tcBorders>
      </w:tcPr>
    </w:tblStylePr>
  </w:style>
  <w:style w:type="table" w:styleId="901" w:customStyle="1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0dfb2" w:themeFill="accent3" w:themeFillTint="75"/>
      </w:tcPr>
    </w:tblStylePr>
    <w:tblStylePr w:type="band1Vert">
      <w:tcPr>
        <w:shd w:val="clear" w:color="ffffff" w:fill="d0dfb2" w:themeFill="accent3" w:themeFillTint="75"/>
      </w:tcPr>
    </w:tblStylePr>
    <w:tblStylePr w:type="firstCol">
      <w:rPr>
        <w:b/>
        <w:sz w:val="22"/>
      </w:rPr>
      <w:tcPr>
        <w:shd w:val="clear" w:color="ffffff" w:fill="9bbb59" w:themeFill="accent3"/>
      </w:tc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  <w:sz w:val="22"/>
      </w:rPr>
      <w:tcPr>
        <w:shd w:val="clear" w:color="ffffff" w:fill="9bbb59" w:themeFill="accent3"/>
      </w:tcPr>
    </w:tblStylePr>
    <w:tblStylePr w:type="lastRow">
      <w:rPr>
        <w:b/>
        <w:sz w:val="22"/>
      </w:rPr>
      <w:tcPr>
        <w:shd w:val="clear" w:color="ffffff" w:fill="9bbb59" w:themeFill="accent3"/>
        <w:tcBorders>
          <w:top w:val="single" w:color="FFFFFF" w:themeColor="light1" w:sz="4" w:space="0"/>
        </w:tcBorders>
      </w:tcPr>
    </w:tblStylePr>
  </w:style>
  <w:style w:type="table" w:styleId="902" w:customStyle="1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sz w:val="22"/>
      </w:rPr>
      <w:tcPr>
        <w:shd w:val="clear" w:color="ffffff" w:fill="8064a2" w:themeFill="accent4"/>
      </w:tc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  <w:sz w:val="22"/>
      </w:rPr>
      <w:tcPr>
        <w:shd w:val="clear" w:color="ffffff" w:fill="8064a2" w:themeFill="accent4"/>
      </w:tcPr>
    </w:tblStylePr>
    <w:tblStylePr w:type="lastRow">
      <w:rPr>
        <w:b/>
        <w:sz w:val="22"/>
      </w:rPr>
      <w:tcPr>
        <w:shd w:val="clear" w:color="ffffff" w:fill="8064a2" w:themeFill="accent4"/>
        <w:tcBorders>
          <w:top w:val="single" w:color="FFFFFF" w:themeColor="light1" w:sz="4" w:space="0"/>
        </w:tcBorders>
      </w:tcPr>
    </w:tblStylePr>
  </w:style>
  <w:style w:type="table" w:styleId="903" w:customStyle="1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acd8e4" w:themeFill="accent5" w:themeFillTint="75"/>
      </w:tcPr>
    </w:tblStylePr>
    <w:tblStylePr w:type="band1Vert">
      <w:tcPr>
        <w:shd w:val="clear" w:color="ffffff" w:fill="acd8e4" w:themeFill="accent5" w:themeFillTint="75"/>
      </w:tcPr>
    </w:tblStylePr>
    <w:tblStylePr w:type="firstCol">
      <w:rPr>
        <w:b/>
        <w:sz w:val="22"/>
      </w:rPr>
      <w:tcPr>
        <w:shd w:val="clear" w:color="ffffff" w:fill="4bacc6" w:themeFill="accent5"/>
      </w:tc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  <w:sz w:val="22"/>
      </w:rPr>
      <w:tcPr>
        <w:shd w:val="clear" w:color="ffffff" w:fill="4bacc6" w:themeFill="accent5"/>
      </w:tcPr>
    </w:tblStylePr>
    <w:tblStylePr w:type="lastRow">
      <w:rPr>
        <w:b/>
        <w:sz w:val="22"/>
      </w:rPr>
      <w:tcPr>
        <w:shd w:val="clear" w:color="ffffff" w:fill="4bacc6" w:themeFill="accent5"/>
        <w:tcBorders>
          <w:top w:val="single" w:color="FFFFFF" w:themeColor="light1" w:sz="4" w:space="0"/>
        </w:tcBorders>
      </w:tcPr>
    </w:tblStylePr>
  </w:style>
  <w:style w:type="table" w:styleId="904" w:customStyle="1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bceaa" w:themeFill="accent6" w:themeFillTint="75"/>
      </w:tcPr>
    </w:tblStylePr>
    <w:tblStylePr w:type="band1Vert">
      <w:tcPr>
        <w:shd w:val="clear" w:color="ffffff" w:fill="fbceaa" w:themeFill="accent6" w:themeFillTint="75"/>
      </w:tcPr>
    </w:tblStylePr>
    <w:tblStylePr w:type="firstCol">
      <w:rPr>
        <w:b/>
        <w:sz w:val="22"/>
      </w:rPr>
      <w:tcPr>
        <w:shd w:val="clear" w:color="ffffff" w:fill="f79646" w:themeFill="accent6"/>
      </w:tc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  <w:sz w:val="22"/>
      </w:rPr>
      <w:tcPr>
        <w:shd w:val="clear" w:color="ffffff" w:fill="f79646" w:themeFill="accent6"/>
      </w:tcPr>
    </w:tblStylePr>
    <w:tblStylePr w:type="lastRow">
      <w:rPr>
        <w:b/>
        <w:sz w:val="22"/>
      </w:rPr>
      <w:tcPr>
        <w:shd w:val="clear" w:color="ffffff" w:fill="f79646" w:themeFill="accent6"/>
        <w:tcBorders>
          <w:top w:val="single" w:color="FFFFFF" w:themeColor="light1" w:sz="4" w:space="0"/>
        </w:tcBorders>
      </w:tcPr>
    </w:tblStylePr>
  </w:style>
  <w:style w:type="table" w:styleId="905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6" w:customStyle="1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07" w:customStyle="1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fffff" w:fill="f2dcdc" w:themeFill="accent2" w:themeFillTint="32"/>
      </w:tcPr>
    </w:tblStylePr>
    <w:tblStylePr w:type="band1Vert"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08" w:customStyle="1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ffffff" w:fill="eaf1dc" w:themeFill="accent3" w:themeFillTint="34"/>
      </w:tcPr>
    </w:tblStylePr>
    <w:tblStylePr w:type="band1Vert"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09" w:customStyle="1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10" w:customStyle="1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1" w:customStyle="1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2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fffff" w:fill="f2dcdc" w:themeFill="accent2" w:themeFillTint="32"/>
      </w:tcPr>
    </w:tblStylePr>
    <w:tblStylePr w:type="band1Vert"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ffffff" w:fill="eaf1dc" w:themeFill="accent3" w:themeFillTint="34"/>
      </w:tcPr>
    </w:tblStylePr>
    <w:tblStylePr w:type="band1Vert"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154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List Table 1 Ligh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1 Light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1 Light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1 Light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1 Light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1 Light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1 Light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927" w:customStyle="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2dfee" w:themeFill="accent1" w:themeFillTint="40"/>
      </w:tcPr>
    </w:tblStylePr>
    <w:tblStylePr w:type="band1Vert">
      <w:rPr>
        <w:sz w:val="22"/>
      </w:rPr>
      <w:tcPr>
        <w:shd w:val="clear" w:color="ffffff" w:fill="d2df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928" w:customStyle="1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fd2d2" w:themeFill="accent2" w:themeFillTint="40"/>
      </w:tcPr>
    </w:tblStylePr>
    <w:tblStylePr w:type="band1Vert">
      <w:rPr>
        <w:sz w:val="22"/>
      </w:rPr>
      <w:tcPr>
        <w:shd w:val="clear" w:color="ffffff" w:fill="efd2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929" w:customStyle="1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5eed5" w:themeFill="accent3" w:themeFillTint="40"/>
      </w:tcPr>
    </w:tblStylePr>
    <w:tblStylePr w:type="band1Vert">
      <w:rPr>
        <w:sz w:val="22"/>
      </w:rPr>
      <w:tcPr>
        <w:shd w:val="clear" w:color="ffffff" w:fill="e5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930" w:customStyle="1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931" w:customStyle="1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932" w:customStyle="1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de4d0" w:themeFill="accent6" w:themeFillTint="40"/>
      </w:tcPr>
    </w:tblStylePr>
    <w:tblStylePr w:type="band1Vert">
      <w:rPr>
        <w:sz w:val="22"/>
      </w:rPr>
      <w:tcPr>
        <w:shd w:val="clear" w:color="ffffff" w:fill="fde4d0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933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4" w:customStyle="1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5" w:customStyle="1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5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6" w:customStyle="1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7" w:customStyle="1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8" w:customStyle="1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2cc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9" w:customStyle="1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ac0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0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1" w:customStyle="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2dfee" w:themeFill="accent1" w:themeFillTint="40"/>
      </w:tcPr>
    </w:tblStylePr>
    <w:tblStylePr w:type="band1Vert">
      <w:rPr>
        <w:sz w:val="22"/>
      </w:rPr>
      <w:tcPr>
        <w:shd w:val="clear" w:color="ffffff" w:fill="d2df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2" w:customStyle="1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fd2d2" w:themeFill="accent2" w:themeFillTint="40"/>
      </w:tcPr>
    </w:tblStylePr>
    <w:tblStylePr w:type="band1Vert">
      <w:rPr>
        <w:sz w:val="22"/>
      </w:rPr>
      <w:tcPr>
        <w:shd w:val="clear" w:color="ffffff" w:fill="efd2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3" w:customStyle="1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5eed5" w:themeFill="accent3" w:themeFillTint="40"/>
      </w:tcPr>
    </w:tblStylePr>
    <w:tblStylePr w:type="band1Vert">
      <w:rPr>
        <w:sz w:val="22"/>
      </w:rPr>
      <w:tcPr>
        <w:shd w:val="clear" w:color="ffffff" w:fill="e5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4" w:customStyle="1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5" w:customStyle="1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6" w:customStyle="1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de4d0" w:themeFill="accent6" w:themeFillTint="40"/>
      </w:tcPr>
    </w:tblStylePr>
    <w:tblStylePr w:type="band1Vert">
      <w:rPr>
        <w:sz w:val="22"/>
      </w:rPr>
      <w:tcPr>
        <w:shd w:val="clear" w:color="ffffff" w:fill="fde4d0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7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48" w:customStyle="1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49" w:customStyle="1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d99695" w:themeFill="accent2" w:themeFillTint="97"/>
        <w:tcBorders>
          <w:top w:val="single" w:color="C0504D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0" w:customStyle="1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3d69b" w:themeFill="accent3" w:themeFillTint="98"/>
        <w:tcBorders>
          <w:top w:val="single" w:color="9BBB5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1" w:customStyle="1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b2a1c6" w:themeFill="accent4" w:themeFillTint="9A"/>
        <w:tcBorders>
          <w:top w:val="single" w:color="8064A2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2" w:customStyle="1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2ccdc" w:themeFill="accent5" w:themeFillTint="9A"/>
        <w:tcBorders>
          <w:top w:val="single" w:color="4BACC6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3" w:customStyle="1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ac090" w:themeFill="accent6" w:themeFillTint="98"/>
        <w:tcBorders>
          <w:top w:val="single" w:color="F79646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4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955" w:customStyle="1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56" w:customStyle="1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957" w:customStyle="1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958" w:customStyle="1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959" w:customStyle="1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960" w:customStyle="1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961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Lined - Accen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fffff" w:themeFill="text1" w:themeFillTint="00"/>
      </w:tcPr>
    </w:tblStylePr>
    <w:tblStylePr w:type="band2Vert">
      <w:rPr>
        <w:sz w:val="22"/>
      </w:rPr>
      <w:tcPr>
        <w:shd w:val="clear" w:color="ffffff" w:fill="ffffff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969" w:customStyle="1">
    <w:name w:val="Lined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ac2" w:themeFill="accent1" w:themeFillTint="EA"/>
      </w:tcPr>
    </w:tblStylePr>
    <w:tblStylePr w:type="firstRow">
      <w:rPr>
        <w:sz w:val="22"/>
      </w:rPr>
      <w:tcPr>
        <w:shd w:val="clear" w:color="ffffff" w:fill="5d8ac2" w:themeFill="accent1" w:themeFillTint="EA"/>
      </w:tcPr>
    </w:tblStylePr>
    <w:tblStylePr w:type="lastCol">
      <w:rPr>
        <w:sz w:val="22"/>
      </w:rPr>
      <w:tcPr>
        <w:shd w:val="clear" w:color="ffffff" w:fill="5d8ac2" w:themeFill="accent1" w:themeFillTint="EA"/>
      </w:tcPr>
    </w:tblStylePr>
    <w:tblStylePr w:type="lastRow">
      <w:rPr>
        <w:sz w:val="22"/>
      </w:rPr>
      <w:tcPr>
        <w:shd w:val="clear" w:color="ffffff" w:fill="5d8ac2" w:themeFill="accent1" w:themeFillTint="EA"/>
      </w:tcPr>
    </w:tblStylePr>
  </w:style>
  <w:style w:type="table" w:styleId="970" w:customStyle="1">
    <w:name w:val="Lined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c" w:themeFill="accent2" w:themeFillTint="32"/>
      </w:tcPr>
    </w:tblStylePr>
    <w:tblStylePr w:type="band2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sz w:val="22"/>
      </w:rPr>
      <w:tcPr>
        <w:shd w:val="clear" w:color="ffffff" w:fill="d99695" w:themeFill="accent2" w:themeFillTint="97"/>
      </w:tcPr>
    </w:tblStylePr>
    <w:tblStylePr w:type="firstRow">
      <w:rPr>
        <w:sz w:val="22"/>
      </w:rPr>
      <w:tcPr>
        <w:shd w:val="clear" w:color="ffffff" w:fill="d99695" w:themeFill="accent2" w:themeFillTint="97"/>
      </w:tcPr>
    </w:tblStylePr>
    <w:tblStylePr w:type="lastCol">
      <w:rPr>
        <w:sz w:val="22"/>
      </w:rPr>
      <w:tcPr>
        <w:shd w:val="clear" w:color="ffffff" w:fill="d99695" w:themeFill="accent2" w:themeFillTint="97"/>
      </w:tcPr>
    </w:tblStylePr>
    <w:tblStylePr w:type="lastRow">
      <w:rPr>
        <w:sz w:val="22"/>
      </w:rPr>
      <w:tcPr>
        <w:shd w:val="clear" w:color="ffffff" w:fill="d99695" w:themeFill="accent2" w:themeFillTint="97"/>
      </w:tcPr>
    </w:tblStylePr>
  </w:style>
  <w:style w:type="table" w:styleId="971" w:customStyle="1">
    <w:name w:val="Lined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1dc" w:themeFill="accent3" w:themeFillTint="34"/>
      </w:tcPr>
    </w:tblStylePr>
    <w:tblStylePr w:type="band2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sz w:val="22"/>
      </w:rPr>
      <w:tcPr>
        <w:shd w:val="clear" w:color="ffffff" w:fill="9abb59" w:themeFill="accent3" w:themeFillTint="FE"/>
      </w:tcPr>
    </w:tblStylePr>
    <w:tblStylePr w:type="firstRow">
      <w:rPr>
        <w:sz w:val="22"/>
      </w:rPr>
      <w:tcPr>
        <w:shd w:val="clear" w:color="ffffff" w:fill="9abb59" w:themeFill="accent3" w:themeFillTint="FE"/>
      </w:tcPr>
    </w:tblStylePr>
    <w:tblStylePr w:type="lastCol">
      <w:rPr>
        <w:sz w:val="22"/>
      </w:rPr>
      <w:tcPr>
        <w:shd w:val="clear" w:color="ffffff" w:fill="9abb59" w:themeFill="accent3" w:themeFillTint="FE"/>
      </w:tcPr>
    </w:tblStylePr>
    <w:tblStylePr w:type="lastRow">
      <w:rPr>
        <w:sz w:val="22"/>
      </w:rPr>
      <w:tcPr>
        <w:shd w:val="clear" w:color="ffffff" w:fill="9abb59" w:themeFill="accent3" w:themeFillTint="FE"/>
      </w:tcPr>
    </w:tblStylePr>
  </w:style>
  <w:style w:type="table" w:styleId="972" w:customStyle="1">
    <w:name w:val="Lined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973" w:customStyle="1">
    <w:name w:val="Lined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974" w:customStyle="1">
    <w:name w:val="Lined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975" w:customStyle="1">
    <w:name w:val="Bordered &amp; Lined - Accent"/>
    <w:uiPriority w:val="99"/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fffff" w:themeFill="text1" w:themeFillTint="00"/>
      </w:tcPr>
    </w:tblStylePr>
    <w:tblStylePr w:type="band2Vert">
      <w:rPr>
        <w:sz w:val="22"/>
      </w:rPr>
      <w:tcPr>
        <w:shd w:val="clear" w:color="ffffff" w:fill="ffffff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976" w:customStyle="1">
    <w:name w:val="Bordered &amp; Lined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ac2" w:themeFill="accent1" w:themeFillTint="EA"/>
      </w:tcPr>
    </w:tblStylePr>
    <w:tblStylePr w:type="firstRow">
      <w:rPr>
        <w:sz w:val="22"/>
      </w:rPr>
      <w:tcPr>
        <w:shd w:val="clear" w:color="ffffff" w:fill="5d8ac2" w:themeFill="accent1" w:themeFillTint="EA"/>
      </w:tcPr>
    </w:tblStylePr>
    <w:tblStylePr w:type="lastCol">
      <w:rPr>
        <w:sz w:val="22"/>
      </w:rPr>
      <w:tcPr>
        <w:shd w:val="clear" w:color="ffffff" w:fill="5d8ac2" w:themeFill="accent1" w:themeFillTint="EA"/>
      </w:tcPr>
    </w:tblStylePr>
    <w:tblStylePr w:type="lastRow">
      <w:rPr>
        <w:sz w:val="22"/>
      </w:rPr>
      <w:tcPr>
        <w:shd w:val="clear" w:color="ffffff" w:fill="5d8ac2" w:themeFill="accent1" w:themeFillTint="EA"/>
      </w:tcPr>
    </w:tblStylePr>
  </w:style>
  <w:style w:type="table" w:styleId="977" w:customStyle="1">
    <w:name w:val="Bordered &amp; Lined - Accent 2"/>
    <w:uiPriority w:val="99"/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c" w:themeFill="accent2" w:themeFillTint="32"/>
      </w:tcPr>
    </w:tblStylePr>
    <w:tblStylePr w:type="band2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sz w:val="22"/>
      </w:rPr>
      <w:tcPr>
        <w:shd w:val="clear" w:color="ffffff" w:fill="d99695" w:themeFill="accent2" w:themeFillTint="97"/>
      </w:tcPr>
    </w:tblStylePr>
    <w:tblStylePr w:type="firstRow">
      <w:rPr>
        <w:sz w:val="22"/>
      </w:rPr>
      <w:tcPr>
        <w:shd w:val="clear" w:color="ffffff" w:fill="d99695" w:themeFill="accent2" w:themeFillTint="97"/>
      </w:tcPr>
    </w:tblStylePr>
    <w:tblStylePr w:type="lastCol">
      <w:rPr>
        <w:sz w:val="22"/>
      </w:rPr>
      <w:tcPr>
        <w:shd w:val="clear" w:color="ffffff" w:fill="d99695" w:themeFill="accent2" w:themeFillTint="97"/>
      </w:tcPr>
    </w:tblStylePr>
    <w:tblStylePr w:type="lastRow">
      <w:rPr>
        <w:sz w:val="22"/>
      </w:rPr>
      <w:tcPr>
        <w:shd w:val="clear" w:color="ffffff" w:fill="d99695" w:themeFill="accent2" w:themeFillTint="97"/>
      </w:tcPr>
    </w:tblStylePr>
  </w:style>
  <w:style w:type="table" w:styleId="978" w:customStyle="1">
    <w:name w:val="Bordered &amp; Lined - Accent 3"/>
    <w:uiPriority w:val="99"/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1dc" w:themeFill="accent3" w:themeFillTint="34"/>
      </w:tcPr>
    </w:tblStylePr>
    <w:tblStylePr w:type="band2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sz w:val="22"/>
      </w:rPr>
      <w:tcPr>
        <w:shd w:val="clear" w:color="ffffff" w:fill="9abb59" w:themeFill="accent3" w:themeFillTint="FE"/>
      </w:tcPr>
    </w:tblStylePr>
    <w:tblStylePr w:type="firstRow">
      <w:rPr>
        <w:sz w:val="22"/>
      </w:rPr>
      <w:tcPr>
        <w:shd w:val="clear" w:color="ffffff" w:fill="9abb59" w:themeFill="accent3" w:themeFillTint="FE"/>
      </w:tcPr>
    </w:tblStylePr>
    <w:tblStylePr w:type="lastCol">
      <w:rPr>
        <w:sz w:val="22"/>
      </w:rPr>
      <w:tcPr>
        <w:shd w:val="clear" w:color="ffffff" w:fill="9abb59" w:themeFill="accent3" w:themeFillTint="FE"/>
      </w:tcPr>
    </w:tblStylePr>
    <w:tblStylePr w:type="lastRow">
      <w:rPr>
        <w:sz w:val="22"/>
      </w:rPr>
      <w:tcPr>
        <w:shd w:val="clear" w:color="ffffff" w:fill="9abb59" w:themeFill="accent3" w:themeFillTint="FE"/>
      </w:tcPr>
    </w:tblStylePr>
  </w:style>
  <w:style w:type="table" w:styleId="979" w:customStyle="1">
    <w:name w:val="Bordered &amp; Lined - Accent 4"/>
    <w:uiPriority w:val="99"/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980" w:customStyle="1">
    <w:name w:val="Bordered &amp; Lined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981" w:customStyle="1">
    <w:name w:val="Bordered &amp; Lined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982" w:customStyle="1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983" w:customStyle="1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84" w:customStyle="1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985" w:customStyle="1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986" w:customStyle="1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987" w:customStyle="1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988" w:customStyle="1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sz w:val="22"/>
      </w:rPr>
      <w:tcPr>
        <w:tcBorders>
          <w:top w:val="single" w:color="F79646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yperlink" Target="https://login.consultant.ru/link/?req=doc&amp;base=LAW&amp;n=525528&amp;dst=21197&amp;field=134&amp;date=20.02.2026" TargetMode="External"/><Relationship Id="rId10" Type="http://schemas.openxmlformats.org/officeDocument/2006/relationships/hyperlink" Target="https://login.consultant.ru/link/?req=doc&amp;base=LAW&amp;n=525528&amp;dst=26046&amp;field=134&amp;date=20.02.2026" TargetMode="External"/><Relationship Id="rId11" Type="http://schemas.openxmlformats.org/officeDocument/2006/relationships/hyperlink" Target="https://login.consultant.ru/link/?req=doc&amp;base=LAW&amp;n=525528&amp;dst=26864&amp;field=134&amp;date=20.02.2026" TargetMode="External"/><Relationship Id="rId12" Type="http://schemas.openxmlformats.org/officeDocument/2006/relationships/hyperlink" Target="https://login.consultant.ru/link/?req=doc&amp;base=LAW&amp;n=525528&amp;dst=26074&amp;field=134&amp;date=20.02.2026" TargetMode="External"/><Relationship Id="rId13" Type="http://schemas.openxmlformats.org/officeDocument/2006/relationships/hyperlink" Target="https://login.consultant.ru/link/?req=doc&amp;base=LAW&amp;n=525528&amp;dst=21463&amp;field=134&amp;date=20.02.2026" TargetMode="External"/><Relationship Id="rId14" Type="http://schemas.openxmlformats.org/officeDocument/2006/relationships/hyperlink" Target="https://login.consultant.ru/link/?req=doc&amp;base=LAW&amp;n=495710&amp;dst=7714&amp;field=134&amp;date=20.02.2026" TargetMode="External"/><Relationship Id="rId15" Type="http://schemas.openxmlformats.org/officeDocument/2006/relationships/hyperlink" Target="https://login.consultant.ru/link/?req=doc&amp;base=LAW&amp;n=525528&amp;dst=26046&amp;field=134&amp;date=20.02.2026" TargetMode="External"/><Relationship Id="rId16" Type="http://schemas.openxmlformats.org/officeDocument/2006/relationships/hyperlink" Target="https://login.consultant.ru/link/?req=doc&amp;base=LAW&amp;n=495710&amp;dst=6387&amp;field=134&amp;date=20.02.2026" TargetMode="External"/><Relationship Id="rId17" Type="http://schemas.openxmlformats.org/officeDocument/2006/relationships/hyperlink" Target="https://login.consultant.ru/link/?req=doc&amp;base=LAW&amp;n=495710&amp;dst=6388&amp;field=134&amp;date=20.02.2026" TargetMode="External"/><Relationship Id="rId18" Type="http://schemas.openxmlformats.org/officeDocument/2006/relationships/hyperlink" Target="https://login.consultant.ru/link/?req=doc&amp;base=LAW&amp;n=525528&amp;dst=26121&amp;field=134&amp;date=20.02.2026" TargetMode="External"/><Relationship Id="rId19" Type="http://schemas.openxmlformats.org/officeDocument/2006/relationships/hyperlink" Target="https://login.consultant.ru/link/?req=doc&amp;base=LAW&amp;n=525528&amp;dst=26864&amp;field=134&amp;date=20.02.202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Сергеевна Недодел</dc:creator>
  <dc:description/>
  <dc:language>ru-RU</dc:language>
  <cp:lastModifiedBy>kushh_ka</cp:lastModifiedBy>
  <cp:revision>24</cp:revision>
  <dcterms:created xsi:type="dcterms:W3CDTF">2023-02-06T06:05:00Z</dcterms:created>
  <dcterms:modified xsi:type="dcterms:W3CDTF">2026-03-16T22:52:07Z</dcterms:modified>
  <cp:version>1048576</cp:version>
</cp:coreProperties>
</file>